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Override PartName="/word/footer1.xml" ContentType="application/vnd.openxmlformats-officedocument.wordprocessingml.footer+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body>
    <w:p>
      <w:pPr>
        <w:adjustRightInd/>
        <w:wordWrap/>
        <w:jc w:val="left"/>
        <w:spacing w:line="480" w:lineRule="auto"/>
        <w:rPr>
          <w:rFonts w:ascii="Times New Roman" w:eastAsiaTheme="minorHAnsi" w:hAnsi="Times New Roman" w:cs="Times New Roman"/>
          <w:b/>
          <w:color w:val="231F20"/>
          <w:sz w:val="22"/>
          <w:kern w:val="0"/>
        </w:rPr>
      </w:pPr>
      <w:r>
        <w:rPr>
          <w:rFonts w:ascii="Times New Roman" w:eastAsiaTheme="minorHAnsi" w:hAnsi="Times New Roman" w:cs="Times New Roman"/>
          <w:b/>
          <w:color w:val="231F20"/>
          <w:sz w:val="22"/>
          <w:kern w:val="0"/>
        </w:rPr>
        <w:t>Title Page</w:t>
      </w:r>
      <w:r>
        <w:rPr>
          <w:rFonts w:ascii="Times New Roman" w:eastAsiaTheme="minorHAnsi" w:hAnsi="Times New Roman" w:cs="Times New Roman"/>
          <w:b/>
          <w:color w:val="231F20"/>
          <w:sz w:val="22"/>
          <w:kern w:val="0"/>
        </w:rPr>
        <w:t xml:space="preserve"> </w:t>
      </w:r>
      <w:r>
        <w:rPr>
          <w:rFonts w:ascii="Times New Roman" w:hAnsi="Times New Roman" w:cs="Times New Roman"/>
        </w:rPr>
        <w:t>(Original</w:t>
      </w:r>
      <w:r>
        <w:rPr>
          <w:rFonts w:ascii="Times New Roman" w:hAnsi="Times New Roman" w:cs="Times New Roman"/>
          <w:spacing w:val="-13"/>
        </w:rPr>
        <w:t xml:space="preserve"> </w:t>
      </w:r>
      <w:r>
        <w:rPr>
          <w:rFonts w:ascii="Times New Roman" w:hAnsi="Times New Roman" w:cs="Times New Roman"/>
          <w:spacing w:val="-2"/>
        </w:rPr>
        <w:t>Article)</w:t>
      </w:r>
    </w:p>
    <w:p>
      <w:pPr>
        <w:adjustRightInd/>
        <w:wordWrap/>
        <w:jc w:val="left"/>
        <w:spacing w:line="480" w:lineRule="auto"/>
        <w:rPr>
          <w:rFonts w:ascii="Times New Roman" w:eastAsiaTheme="minorHAnsi" w:hAnsi="Times New Roman" w:cs="Times New Roman"/>
          <w:b/>
          <w:color w:val="231F20"/>
          <w:sz w:val="22"/>
          <w:kern w:val="0"/>
        </w:rPr>
      </w:pPr>
    </w:p>
    <w:p>
      <w:pPr>
        <w:adjustRightInd/>
        <w:ind w:left="708" w:hangingChars="322" w:hanging="708"/>
        <w:wordWrap/>
        <w:jc w:val="left"/>
        <w:spacing w:line="480" w:lineRule="auto"/>
        <w:rPr>
          <w:rFonts w:ascii="Times New Roman" w:eastAsiaTheme="minorHAnsi" w:hAnsi="Times New Roman" w:cs="Times New Roman"/>
          <w:color w:val="231F20"/>
          <w:sz w:val="22"/>
          <w:kern w:val="0"/>
        </w:rPr>
      </w:pPr>
      <w:r>
        <w:rPr>
          <w:rFonts w:ascii="Times New Roman" w:eastAsiaTheme="minorHAnsi" w:hAnsi="Times New Roman" w:cs="Times New Roman"/>
          <w:b/>
          <w:color w:val="231F20"/>
          <w:sz w:val="22"/>
          <w:kern w:val="0"/>
        </w:rPr>
        <w:t xml:space="preserve">Title: </w:t>
      </w:r>
      <w:r>
        <w:rPr>
          <w:rFonts w:ascii="Times New Roman" w:eastAsiaTheme="minorHAnsi" w:hAnsi="Times New Roman" w:cs="Times New Roman"/>
          <w:b/>
          <w:color w:val="231F20"/>
          <w:sz w:val="22"/>
          <w:kern w:val="0"/>
        </w:rPr>
        <w:t xml:space="preserve"> </w:t>
      </w:r>
      <w:r>
        <w:rPr>
          <w:rFonts w:ascii="Times New Roman" w:eastAsiaTheme="minorHAnsi" w:hAnsi="Times New Roman" w:cs="Times New Roman"/>
          <w:color w:val="231F20"/>
          <w:sz w:val="22"/>
          <w:kern w:val="0"/>
        </w:rPr>
        <w:t>Predictors of CPAP adherence and comparison of clinical factors and polysomnography between compliance and non-compliance in Korean adults with obstructive sleep apnea</w:t>
      </w:r>
    </w:p>
    <w:p>
      <w:pPr>
        <w:adjustRightInd/>
        <w:wordWrap/>
        <w:jc w:val="left"/>
        <w:tabs>
          <w:tab w:val="left" w:pos="1309"/>
        </w:tabs>
        <w:spacing w:line="480" w:lineRule="auto"/>
        <w:rPr>
          <w:rFonts w:ascii="Times New Roman" w:eastAsiaTheme="minorHAnsi" w:hAnsi="Times New Roman" w:cs="Times New Roman"/>
          <w:color w:val="231F20"/>
          <w:sz w:val="22"/>
          <w:kern w:val="0"/>
        </w:rPr>
      </w:pPr>
      <w:r>
        <w:rPr>
          <w:rFonts w:ascii="Times New Roman" w:hAnsi="Times New Roman" w:cs="Times New Roman"/>
          <w:b/>
          <w:sz w:val="22"/>
        </w:rPr>
        <w:t xml:space="preserve">Running </w:t>
      </w:r>
      <w:r>
        <w:rPr>
          <w:rFonts w:ascii="Times New Roman" w:eastAsiaTheme="minorHAnsi" w:hAnsi="Times New Roman" w:cs="Times New Roman"/>
          <w:b/>
          <w:sz w:val="22"/>
        </w:rPr>
        <w:t>title:</w:t>
      </w:r>
      <w:r>
        <w:rPr>
          <w:rFonts w:ascii="Times New Roman" w:eastAsiaTheme="minorHAnsi" w:hAnsi="Times New Roman" w:cs="Times New Roman"/>
          <w:sz w:val="22"/>
        </w:rPr>
        <w:t xml:space="preserve"> </w:t>
      </w:r>
      <w:r>
        <w:rPr>
          <w:rFonts w:ascii="Times New Roman" w:eastAsia="신명조" w:hAnsi="Times New Roman" w:cs="Times New Roman" w:hint="eastAsia"/>
          <w:sz w:val="22"/>
        </w:rPr>
        <w:t>P</w:t>
      </w:r>
      <w:r>
        <w:rPr>
          <w:rFonts w:ascii="Times New Roman" w:eastAsia="신명조" w:hAnsi="Times New Roman" w:cs="Times New Roman"/>
          <w:sz w:val="22"/>
        </w:rPr>
        <w:t>redictors for CPAP compliance in Korean OSA patients</w:t>
      </w:r>
    </w:p>
    <w:p>
      <w:pPr>
        <w:adjustRightInd/>
        <w:ind w:left="708" w:hangingChars="322" w:hanging="708"/>
        <w:wordWrap/>
        <w:jc w:val="left"/>
        <w:spacing w:line="480" w:lineRule="auto"/>
        <w:rPr>
          <w:rFonts w:ascii="Times New Roman" w:eastAsiaTheme="minorHAnsi" w:hAnsi="Times New Roman" w:cs="Times New Roman"/>
          <w:color w:val="231F20"/>
          <w:sz w:val="22"/>
          <w:kern w:val="0"/>
        </w:rPr>
      </w:pPr>
    </w:p>
    <w:p>
      <w:pPr>
        <w:pStyle w:val="a9"/>
        <w:wordWrap/>
        <w:jc w:val="left"/>
        <w:spacing w:line="480" w:lineRule="auto"/>
        <w:rPr>
          <w:rFonts w:ascii="Times New Roman" w:eastAsiaTheme="minorHAnsi" w:hAnsi="Times New Roman" w:cs="Times New Roman"/>
          <w:color w:val="231F20"/>
          <w:sz w:val="22"/>
          <w:szCs w:val="22"/>
        </w:rPr>
      </w:pPr>
      <w:r>
        <w:rPr>
          <w:rFonts w:ascii="Times New Roman" w:eastAsiaTheme="minorHAnsi" w:hAnsi="Times New Roman" w:cs="Times New Roman"/>
          <w:b/>
          <w:color w:val="231F20"/>
          <w:sz w:val="22"/>
          <w:szCs w:val="22"/>
        </w:rPr>
        <w:t>Authors:</w:t>
      </w:r>
      <w:r>
        <w:rPr>
          <w:rFonts w:ascii="Times New Roman" w:eastAsiaTheme="minorHAnsi" w:hAnsi="Times New Roman" w:cs="Times New Roman"/>
          <w:color w:val="231F20"/>
          <w:sz w:val="22"/>
          <w:szCs w:val="22"/>
        </w:rPr>
        <w:t xml:space="preserve"> </w:t>
      </w:r>
      <w:r>
        <w:rPr>
          <w:rFonts w:ascii="Times New Roman" w:eastAsiaTheme="minorHAnsi" w:hAnsi="Times New Roman" w:cs="Times New Roman"/>
          <w:color w:val="231F20"/>
          <w:sz w:val="22"/>
          <w:szCs w:val="22"/>
        </w:rPr>
        <w:t>Seo-Eun Cho</w:t>
      </w:r>
      <w:r>
        <w:rPr>
          <w:rFonts w:ascii="Times New Roman" w:eastAsiaTheme="minorHAnsi" w:hAnsi="Times New Roman" w:cs="Times New Roman"/>
          <w:color w:val="231F20"/>
          <w:sz w:val="22"/>
          <w:szCs w:val="22"/>
          <w:vertAlign w:val="superscript"/>
        </w:rPr>
        <w:t>1</w:t>
      </w:r>
      <w:r>
        <w:rPr>
          <w:rFonts w:ascii="Times New Roman" w:eastAsiaTheme="minorHAnsi" w:hAnsi="Times New Roman" w:cs="Times New Roman"/>
          <w:sz w:val="22"/>
          <w:szCs w:val="22"/>
        </w:rPr>
        <w:t>*</w:t>
      </w:r>
      <w:r>
        <w:rPr>
          <w:rFonts w:ascii="Times New Roman" w:eastAsiaTheme="minorHAnsi" w:hAnsi="Times New Roman" w:cs="Times New Roman"/>
          <w:color w:val="231F20"/>
          <w:sz w:val="22"/>
          <w:szCs w:val="22"/>
        </w:rPr>
        <w:t xml:space="preserve">, </w:t>
      </w:r>
      <w:r>
        <w:rPr>
          <w:rFonts w:ascii="Times New Roman" w:eastAsiaTheme="minorHAnsi" w:hAnsi="Times New Roman" w:cs="Times New Roman"/>
          <w:color w:val="231F20"/>
          <w:sz w:val="22"/>
          <w:szCs w:val="22"/>
        </w:rPr>
        <w:t>Joo Hyun Jung</w:t>
      </w:r>
      <w:r>
        <w:rPr>
          <w:rFonts w:ascii="Times New Roman" w:eastAsiaTheme="minorHAnsi" w:hAnsi="Times New Roman" w:cs="Times New Roman"/>
          <w:color w:val="231F20"/>
          <w:sz w:val="22"/>
          <w:szCs w:val="22"/>
          <w:vertAlign w:val="superscript"/>
        </w:rPr>
        <w:t>2</w:t>
      </w:r>
      <w:r>
        <w:rPr>
          <w:rFonts w:ascii="Times New Roman" w:eastAsiaTheme="minorHAnsi" w:hAnsi="Times New Roman" w:cs="Times New Roman"/>
          <w:sz w:val="22"/>
          <w:szCs w:val="22"/>
        </w:rPr>
        <w:t>*</w:t>
      </w:r>
      <w:r>
        <w:rPr>
          <w:rFonts w:ascii="Times New Roman" w:eastAsiaTheme="minorHAnsi" w:hAnsi="Times New Roman" w:cs="Times New Roman"/>
          <w:color w:val="231F20"/>
          <w:sz w:val="22"/>
          <w:szCs w:val="22"/>
        </w:rPr>
        <w:t xml:space="preserve">, </w:t>
      </w:r>
      <w:r>
        <w:rPr>
          <w:rFonts w:ascii="Times New Roman" w:eastAsiaTheme="minorHAnsi" w:hAnsi="Times New Roman" w:cs="Times New Roman"/>
          <w:sz w:val="22"/>
          <w:szCs w:val="22"/>
        </w:rPr>
        <w:t>Jae Myeong Kang</w:t>
      </w:r>
      <w:r>
        <w:rPr>
          <w:rFonts w:ascii="Times New Roman" w:eastAsiaTheme="minorHAnsi" w:hAnsi="Times New Roman" w:cs="Times New Roman"/>
          <w:color w:val="231F20"/>
          <w:sz w:val="22"/>
          <w:szCs w:val="22"/>
          <w:vertAlign w:val="superscript"/>
        </w:rPr>
        <w:t>1</w:t>
      </w:r>
      <w:r>
        <w:rPr>
          <w:rFonts w:ascii="Times New Roman" w:eastAsiaTheme="minorHAnsi" w:hAnsi="Times New Roman" w:cs="Times New Roman"/>
          <w:sz w:val="22"/>
          <w:szCs w:val="22"/>
        </w:rPr>
        <w:t xml:space="preserve">, </w:t>
      </w:r>
      <w:r>
        <w:rPr>
          <w:rFonts w:ascii="Times New Roman" w:eastAsiaTheme="minorHAnsi" w:hAnsi="Times New Roman" w:cs="Times New Roman"/>
          <w:sz w:val="22"/>
          <w:szCs w:val="22"/>
        </w:rPr>
        <w:t>Min Young Cho</w:t>
      </w:r>
      <w:r>
        <w:rPr>
          <w:rFonts w:ascii="Times New Roman" w:eastAsiaTheme="minorHAnsi" w:hAnsi="Times New Roman" w:cs="Times New Roman"/>
          <w:color w:val="231F20"/>
          <w:sz w:val="22"/>
          <w:szCs w:val="22"/>
          <w:vertAlign w:val="superscript"/>
        </w:rPr>
        <w:t xml:space="preserve"> </w:t>
      </w:r>
      <w:r>
        <w:rPr>
          <w:rFonts w:ascii="Times New Roman" w:eastAsiaTheme="minorHAnsi" w:hAnsi="Times New Roman" w:cs="Times New Roman"/>
          <w:color w:val="231F20"/>
          <w:sz w:val="22"/>
          <w:szCs w:val="22"/>
          <w:vertAlign w:val="superscript"/>
        </w:rPr>
        <w:t>2</w:t>
      </w:r>
      <w:r>
        <w:rPr>
          <w:rFonts w:ascii="Times New Roman" w:eastAsiaTheme="minorHAnsi" w:hAnsi="Times New Roman" w:cs="Times New Roman"/>
          <w:sz w:val="22"/>
          <w:szCs w:val="22"/>
        </w:rPr>
        <w:t>,</w:t>
      </w:r>
      <w:r>
        <w:rPr>
          <w:rFonts w:ascii="Times New Roman" w:eastAsiaTheme="minorHAnsi" w:hAnsi="Times New Roman" w:cs="Times New Roman"/>
          <w:sz w:val="22"/>
          <w:szCs w:val="22"/>
        </w:rPr>
        <w:t xml:space="preserve"> </w:t>
      </w:r>
      <w:r>
        <w:rPr>
          <w:rFonts w:ascii="Times New Roman" w:eastAsiaTheme="minorHAnsi" w:hAnsi="Times New Roman" w:cs="Times New Roman"/>
          <w:sz w:val="22"/>
          <w:szCs w:val="22"/>
        </w:rPr>
        <w:t>Yea Seol Lee</w:t>
      </w:r>
      <w:r>
        <w:rPr>
          <w:rFonts w:ascii="Times New Roman" w:eastAsiaTheme="minorHAnsi" w:hAnsi="Times New Roman" w:cs="Times New Roman"/>
          <w:color w:val="231F20"/>
          <w:sz w:val="22"/>
          <w:szCs w:val="22"/>
          <w:vertAlign w:val="superscript"/>
        </w:rPr>
        <w:t>3</w:t>
      </w:r>
      <w:r>
        <w:rPr>
          <w:rFonts w:ascii="Times New Roman" w:eastAsiaTheme="minorHAnsi" w:hAnsi="Times New Roman" w:cs="Times New Roman"/>
          <w:sz w:val="22"/>
          <w:szCs w:val="22"/>
        </w:rPr>
        <w:t>,</w:t>
      </w:r>
      <w:r>
        <w:rPr>
          <w:rFonts w:ascii="Times New Roman" w:eastAsiaTheme="minorHAnsi" w:hAnsi="Times New Roman" w:cs="Times New Roman"/>
          <w:sz w:val="22"/>
          <w:szCs w:val="22"/>
          <w:shd w:val="clear" w:color="auto" w:fill="FFFFFF"/>
        </w:rPr>
        <w:t xml:space="preserve"> </w:t>
      </w:r>
      <w:r>
        <w:rPr>
          <w:rFonts w:ascii="Times New Roman" w:eastAsiaTheme="minorHAnsi" w:hAnsi="Times New Roman" w:cs="Times New Roman"/>
          <w:sz w:val="22"/>
          <w:szCs w:val="22"/>
          <w:shd w:val="clear" w:color="auto" w:fill="FFFFFF"/>
        </w:rPr>
        <w:t>Seung-Gul Kang</w:t>
      </w:r>
      <w:r>
        <w:rPr>
          <w:rFonts w:ascii="Times New Roman" w:eastAsiaTheme="minorHAnsi" w:hAnsi="Times New Roman" w:cs="Times New Roman"/>
          <w:color w:val="231F20"/>
          <w:sz w:val="22"/>
          <w:szCs w:val="22"/>
          <w:vertAlign w:val="superscript"/>
        </w:rPr>
        <w:t>1</w:t>
      </w:r>
      <w:r>
        <w:rPr>
          <w:rFonts w:ascii="Times New Roman" w:eastAsiaTheme="minorHAnsi" w:hAnsi="Times New Roman" w:cs="Times New Roman"/>
          <w:color w:val="231F20"/>
          <w:sz w:val="22"/>
          <w:szCs w:val="22"/>
          <w:vertAlign w:val="superscript"/>
        </w:rPr>
        <w:t>¶</w:t>
      </w:r>
      <w:r>
        <w:rPr>
          <w:rFonts w:ascii="Times New Roman" w:eastAsiaTheme="minorHAnsi" w:hAnsi="Times New Roman" w:cs="Times New Roman"/>
          <w:sz w:val="22"/>
          <w:szCs w:val="22"/>
          <w:shd w:val="clear" w:color="auto" w:fill="FFFFFF"/>
        </w:rPr>
        <w:t xml:space="preserve">, </w:t>
      </w:r>
      <w:r>
        <w:rPr>
          <w:rFonts w:ascii="Times New Roman" w:eastAsiaTheme="minorHAnsi" w:hAnsi="Times New Roman" w:cs="Times New Roman"/>
          <w:sz w:val="22"/>
          <w:szCs w:val="22"/>
          <w:shd w:val="clear" w:color="auto" w:fill="FFFFFF"/>
        </w:rPr>
        <w:t xml:space="preserve">and </w:t>
      </w:r>
      <w:r>
        <w:rPr>
          <w:rFonts w:ascii="Times New Roman" w:eastAsiaTheme="minorHAnsi" w:hAnsi="Times New Roman" w:cs="Times New Roman"/>
          <w:sz w:val="22"/>
          <w:szCs w:val="22"/>
          <w:shd w:val="clear" w:color="auto" w:fill="FFFFFF"/>
        </w:rPr>
        <w:t>Seon Tae Kim</w:t>
      </w:r>
      <w:r>
        <w:rPr>
          <w:rFonts w:ascii="Times New Roman" w:eastAsiaTheme="minorHAnsi" w:hAnsi="Times New Roman" w:cs="Times New Roman"/>
          <w:color w:val="231F20"/>
          <w:sz w:val="22"/>
          <w:szCs w:val="22"/>
          <w:vertAlign w:val="superscript"/>
        </w:rPr>
        <w:t>2¶</w:t>
      </w:r>
    </w:p>
    <w:p>
      <w:pPr>
        <w:adjustRightInd/>
        <w:wordWrap/>
        <w:jc w:val="left"/>
        <w:spacing w:line="480" w:lineRule="auto"/>
        <w:rPr>
          <w:rFonts w:ascii="Times New Roman" w:eastAsiaTheme="minorHAnsi" w:hAnsi="Times New Roman" w:cs="Times New Roman"/>
          <w:color w:val="231F20"/>
          <w:sz w:val="22"/>
          <w:kern w:val="0"/>
        </w:rPr>
      </w:pPr>
    </w:p>
    <w:p>
      <w:pPr>
        <w:adjustRightInd/>
        <w:wordWrap/>
        <w:jc w:val="left"/>
        <w:spacing w:line="480" w:lineRule="auto"/>
        <w:rPr>
          <w:rFonts w:ascii="Times New Roman" w:eastAsiaTheme="minorHAnsi" w:hAnsi="Times New Roman" w:cs="Times New Roman"/>
          <w:b/>
          <w:color w:val="231F20"/>
          <w:sz w:val="22"/>
          <w:kern w:val="0"/>
        </w:rPr>
      </w:pPr>
      <w:r>
        <w:rPr>
          <w:rFonts w:ascii="Times New Roman" w:eastAsiaTheme="minorHAnsi" w:hAnsi="Times New Roman" w:cs="Times New Roman"/>
          <w:b/>
          <w:color w:val="231F20"/>
          <w:sz w:val="22"/>
          <w:kern w:val="0"/>
        </w:rPr>
        <w:t xml:space="preserve">Affiliations: </w:t>
      </w:r>
    </w:p>
    <w:p>
      <w:pPr>
        <w:jc w:val="left"/>
        <w:spacing w:line="480" w:lineRule="auto"/>
        <w:rPr>
          <w:rFonts w:ascii="Times New Roman" w:eastAsiaTheme="minorHAnsi" w:hAnsi="Times New Roman" w:cs="Times New Roman"/>
          <w:color w:val="000000"/>
          <w:sz w:val="22"/>
          <w:kern w:val="0"/>
        </w:rPr>
      </w:pPr>
      <w:r>
        <w:rPr>
          <w:rFonts w:ascii="Times New Roman" w:eastAsiaTheme="minorHAnsi" w:hAnsi="Times New Roman" w:cs="Times New Roman"/>
          <w:color w:val="231F20"/>
          <w:sz w:val="22"/>
          <w:vertAlign w:val="superscript"/>
        </w:rPr>
        <w:t>1</w:t>
      </w:r>
      <w:r>
        <w:t xml:space="preserve"> </w:t>
      </w:r>
      <w:r>
        <w:rPr>
          <w:rFonts w:ascii="Times New Roman" w:eastAsiaTheme="minorHAnsi" w:hAnsi="Times New Roman" w:cs="Times New Roman"/>
          <w:color w:val="000000"/>
          <w:sz w:val="22"/>
          <w:kern w:val="0"/>
        </w:rPr>
        <w:t xml:space="preserve">Department of Psychiatry, Gil Medical Center, </w:t>
      </w:r>
      <w:r>
        <w:rPr>
          <w:rFonts w:ascii="Times New Roman" w:eastAsiaTheme="minorHAnsi" w:hAnsi="Times New Roman" w:cs="Times New Roman"/>
          <w:color w:val="000000"/>
          <w:sz w:val="22"/>
          <w:kern w:val="0"/>
        </w:rPr>
        <w:t>Gachon</w:t>
      </w:r>
      <w:r>
        <w:rPr>
          <w:rFonts w:ascii="Times New Roman" w:eastAsiaTheme="minorHAnsi" w:hAnsi="Times New Roman" w:cs="Times New Roman"/>
          <w:color w:val="000000"/>
          <w:sz w:val="22"/>
          <w:kern w:val="0"/>
        </w:rPr>
        <w:t xml:space="preserve"> University College of Medicine, Incheon, Republic of Korea</w:t>
      </w:r>
    </w:p>
    <w:p>
      <w:pPr>
        <w:jc w:val="left"/>
        <w:spacing w:line="480" w:lineRule="auto"/>
        <w:rPr>
          <w:rFonts w:ascii="Times New Roman" w:eastAsiaTheme="minorHAnsi" w:hAnsi="Times New Roman" w:cs="Times New Roman"/>
          <w:sz w:val="22"/>
        </w:rPr>
      </w:pPr>
      <w:r>
        <w:rPr>
          <w:rFonts w:ascii="Times New Roman" w:eastAsiaTheme="minorHAnsi" w:hAnsi="Times New Roman" w:cs="Times New Roman"/>
          <w:noProof/>
          <w:sz w:val="22"/>
          <w:vertAlign w:val="superscript"/>
        </w:rPr>
        <w:t>2</w:t>
      </w:r>
      <w:r>
        <w:t xml:space="preserve"> </w:t>
      </w:r>
      <w:r>
        <w:rPr>
          <w:rFonts w:ascii="Times New Roman" w:eastAsiaTheme="minorHAnsi" w:hAnsi="Times New Roman" w:cs="Times New Roman"/>
          <w:sz w:val="22"/>
        </w:rPr>
        <w:t xml:space="preserve">Department of Otolaryngology, Gil Medical Center, </w:t>
      </w:r>
      <w:r>
        <w:rPr>
          <w:rFonts w:ascii="Times New Roman" w:eastAsiaTheme="minorHAnsi" w:hAnsi="Times New Roman" w:cs="Times New Roman"/>
          <w:sz w:val="22"/>
        </w:rPr>
        <w:t>Gachon</w:t>
      </w:r>
      <w:r>
        <w:rPr>
          <w:rFonts w:ascii="Times New Roman" w:eastAsiaTheme="minorHAnsi" w:hAnsi="Times New Roman" w:cs="Times New Roman"/>
          <w:sz w:val="22"/>
        </w:rPr>
        <w:t xml:space="preserve"> University College of Medicine, Incheon, Republic of Korea</w:t>
      </w:r>
    </w:p>
    <w:p>
      <w:pPr>
        <w:jc w:val="left"/>
        <w:spacing w:line="480" w:lineRule="auto"/>
        <w:rPr>
          <w:rFonts w:ascii="Times New Roman" w:eastAsiaTheme="minorHAnsi" w:hAnsi="Times New Roman" w:cs="Times New Roman"/>
          <w:color w:val="231F20"/>
          <w:sz w:val="22"/>
          <w:kern w:val="0"/>
        </w:rPr>
      </w:pPr>
      <w:r>
        <w:rPr>
          <w:rFonts w:ascii="Times New Roman" w:hAnsi="Times New Roman" w:cs="Times New Roman"/>
          <w:noProof/>
          <w:sz w:val="22"/>
          <w:vertAlign w:val="superscript"/>
        </w:rPr>
        <w:t>3</w:t>
      </w:r>
      <w:r>
        <w:t xml:space="preserve"> </w:t>
      </w:r>
      <w:r>
        <w:rPr>
          <w:rFonts w:ascii="Times New Roman" w:eastAsiaTheme="minorHAnsi" w:hAnsi="Times New Roman" w:cs="Times New Roman"/>
          <w:sz w:val="22"/>
        </w:rPr>
        <w:t>Gachon</w:t>
      </w:r>
      <w:r>
        <w:rPr>
          <w:rFonts w:ascii="Times New Roman" w:eastAsiaTheme="minorHAnsi" w:hAnsi="Times New Roman" w:cs="Times New Roman"/>
          <w:sz w:val="22"/>
        </w:rPr>
        <w:t xml:space="preserve"> University College of Medicine, Incheon, Republic of Korea</w:t>
      </w:r>
    </w:p>
    <w:p>
      <w:pPr>
        <w:adjustRightInd/>
        <w:wordWrap/>
        <w:jc w:val="left"/>
        <w:spacing w:line="480" w:lineRule="auto"/>
        <w:rPr>
          <w:rFonts w:ascii="Times New Roman" w:eastAsiaTheme="minorHAnsi" w:hAnsi="Times New Roman" w:cs="Times New Roman"/>
          <w:sz w:val="22"/>
          <w:kern w:val="0"/>
        </w:rPr>
      </w:pPr>
      <w:r>
        <w:rPr>
          <w:rFonts w:ascii="Times New Roman" w:eastAsiaTheme="minorHAnsi" w:hAnsi="Times New Roman" w:cs="Times New Roman"/>
          <w:sz w:val="22"/>
        </w:rPr>
        <w:t>*</w:t>
      </w:r>
      <w:r>
        <w:rPr>
          <w:rFonts w:ascii="Times New Roman" w:eastAsiaTheme="minorHAnsi" w:hAnsi="Times New Roman" w:cs="Times New Roman"/>
          <w:color w:val="231F20"/>
          <w:sz w:val="22"/>
        </w:rPr>
        <w:t xml:space="preserve"> Seo-Eun Cho</w:t>
      </w:r>
      <w:r>
        <w:rPr>
          <w:rFonts w:ascii="Times New Roman" w:eastAsiaTheme="minorHAnsi" w:hAnsi="Times New Roman" w:cs="Times New Roman"/>
          <w:color w:val="231F20"/>
          <w:sz w:val="22"/>
          <w:kern w:val="0"/>
        </w:rPr>
        <w:t xml:space="preserve"> </w:t>
      </w:r>
      <w:r>
        <w:rPr>
          <w:rFonts w:ascii="Times New Roman" w:eastAsiaTheme="minorHAnsi" w:hAnsi="Times New Roman" w:cs="Times New Roman"/>
          <w:color w:val="231F20"/>
          <w:sz w:val="22"/>
        </w:rPr>
        <w:t>and Joo Hyun Jung</w:t>
      </w:r>
      <w:r>
        <w:rPr>
          <w:rFonts w:ascii="Times New Roman" w:eastAsiaTheme="minorHAnsi" w:hAnsi="Times New Roman" w:cs="Times New Roman"/>
          <w:sz w:val="22"/>
          <w:kern w:val="0"/>
        </w:rPr>
        <w:t xml:space="preserve"> contributed equally to this work </w:t>
      </w:r>
      <w:r>
        <w:rPr>
          <w:rFonts w:ascii="Times New Roman" w:eastAsia="신명조"/>
          <w:bCs/>
          <w:sz w:val="22"/>
          <w:kern w:val="0"/>
        </w:rPr>
        <w:t>as first authors.</w:t>
      </w:r>
    </w:p>
    <w:p>
      <w:pPr>
        <w:adjustRightInd/>
        <w:wordWrap/>
        <w:jc w:val="left"/>
        <w:spacing w:line="480" w:lineRule="auto"/>
        <w:rPr>
          <w:rFonts w:ascii="Times New Roman" w:eastAsiaTheme="minorHAnsi" w:hAnsi="Times New Roman" w:cs="Times New Roman"/>
          <w:sz w:val="22"/>
          <w:kern w:val="0"/>
        </w:rPr>
      </w:pPr>
      <w:r>
        <w:rPr>
          <w:rFonts w:ascii="Times New Roman" w:eastAsiaTheme="minorHAnsi" w:hAnsi="Times New Roman" w:cs="Times New Roman"/>
          <w:color w:val="231F20"/>
          <w:sz w:val="22"/>
          <w:vertAlign w:val="superscript"/>
        </w:rPr>
        <w:t xml:space="preserve">¶ </w:t>
      </w:r>
      <w:r>
        <w:rPr>
          <w:rFonts w:ascii="Times New Roman" w:eastAsiaTheme="minorHAnsi" w:hAnsi="Times New Roman" w:cs="Times New Roman"/>
          <w:sz w:val="22"/>
          <w:shd w:val="clear" w:color="auto" w:fill="FFFFFF"/>
        </w:rPr>
        <w:t>Seung-Gul Kang</w:t>
      </w:r>
      <w:r>
        <w:rPr>
          <w:rFonts w:ascii="Times New Roman" w:eastAsiaTheme="minorHAnsi" w:hAnsi="Times New Roman" w:cs="Times New Roman"/>
          <w:color w:val="231F20"/>
          <w:sz w:val="22"/>
          <w:kern w:val="0"/>
        </w:rPr>
        <w:t xml:space="preserve"> </w:t>
      </w:r>
      <w:r>
        <w:rPr>
          <w:rFonts w:ascii="Times New Roman" w:eastAsiaTheme="minorHAnsi" w:hAnsi="Times New Roman" w:cs="Times New Roman"/>
          <w:color w:val="231F20"/>
          <w:sz w:val="22"/>
        </w:rPr>
        <w:t xml:space="preserve">and </w:t>
      </w:r>
      <w:r>
        <w:rPr>
          <w:rFonts w:ascii="Times New Roman" w:eastAsiaTheme="minorHAnsi" w:hAnsi="Times New Roman" w:cs="Times New Roman"/>
          <w:sz w:val="22"/>
          <w:shd w:val="clear" w:color="auto" w:fill="FFFFFF"/>
        </w:rPr>
        <w:t>Seon Tae Kim</w:t>
      </w:r>
      <w:r>
        <w:rPr>
          <w:rFonts w:ascii="Times New Roman" w:eastAsiaTheme="minorHAnsi" w:hAnsi="Times New Roman" w:cs="Times New Roman"/>
          <w:sz w:val="22"/>
          <w:kern w:val="0"/>
        </w:rPr>
        <w:t xml:space="preserve"> contributed equally to this work as corresponding authors.</w:t>
      </w:r>
    </w:p>
    <w:p>
      <w:pPr>
        <w:adjustRightInd/>
        <w:wordWrap/>
        <w:jc w:val="left"/>
        <w:spacing w:line="480" w:lineRule="auto"/>
        <w:rPr>
          <w:rFonts w:ascii="Times New Roman" w:eastAsiaTheme="minorHAnsi" w:hAnsi="Times New Roman" w:cs="Times New Roman"/>
          <w:sz w:val="22"/>
          <w:kern w:val="0"/>
        </w:rPr>
      </w:pPr>
    </w:p>
    <w:p>
      <w:pPr>
        <w:adjustRightInd/>
        <w:wordWrap/>
        <w:jc w:val="left"/>
        <w:spacing w:line="480" w:lineRule="auto"/>
        <w:rPr>
          <w:rFonts w:ascii="Times New Roman" w:eastAsiaTheme="minorHAnsi" w:hAnsi="Times New Roman" w:cs="Times New Roman"/>
          <w:sz w:val="22"/>
        </w:rPr>
      </w:pPr>
      <w:r>
        <w:rPr>
          <w:rFonts w:ascii="Times New Roman" w:eastAsiaTheme="minorHAnsi" w:hAnsi="Times New Roman" w:cs="Times New Roman"/>
          <w:b/>
          <w:sz w:val="22"/>
        </w:rPr>
        <w:t xml:space="preserve">Address for </w:t>
      </w:r>
      <w:r>
        <w:rPr>
          <w:rFonts w:ascii="Times New Roman" w:eastAsiaTheme="minorHAnsi" w:hAnsi="Times New Roman" w:cs="Times New Roman"/>
          <w:b/>
          <w:sz w:val="22"/>
        </w:rPr>
        <w:t>C</w:t>
      </w:r>
      <w:r>
        <w:rPr>
          <w:rFonts w:ascii="Times New Roman" w:eastAsiaTheme="minorHAnsi" w:hAnsi="Times New Roman" w:cs="Times New Roman"/>
          <w:b/>
          <w:sz w:val="22"/>
        </w:rPr>
        <w:t>orrespondence</w:t>
      </w:r>
      <w:r>
        <w:rPr>
          <w:rFonts w:ascii="Times New Roman" w:eastAsiaTheme="minorHAnsi" w:hAnsi="Times New Roman" w:cs="Times New Roman"/>
          <w:sz w:val="22"/>
        </w:rPr>
        <w:t xml:space="preserve">: </w:t>
      </w:r>
    </w:p>
    <w:p>
      <w:pPr>
        <w:adjustRightInd/>
        <w:wordWrap/>
        <w:jc w:val="left"/>
        <w:tabs>
          <w:tab w:val="left" w:pos="1309"/>
        </w:tabs>
        <w:spacing w:line="480" w:lineRule="auto"/>
        <w:rPr>
          <w:rFonts w:ascii="Times New Roman" w:eastAsiaTheme="minorHAnsi" w:hAnsi="Times New Roman" w:cs="Times New Roman"/>
          <w:sz w:val="22"/>
          <w:kern w:val="0"/>
        </w:rPr>
      </w:pPr>
      <w:r>
        <w:rPr>
          <w:rFonts w:ascii="Times New Roman" w:eastAsiaTheme="minorHAnsi" w:hAnsi="Times New Roman" w:cs="Times New Roman"/>
          <w:b/>
          <w:bCs/>
          <w:color w:val="231F20"/>
          <w:sz w:val="22"/>
          <w:vertAlign w:val="superscript"/>
        </w:rPr>
        <w:t xml:space="preserve">¶ </w:t>
      </w:r>
      <w:r>
        <w:rPr>
          <w:rFonts w:ascii="Times New Roman" w:eastAsiaTheme="minorHAnsi" w:hAnsi="Times New Roman" w:cs="Times New Roman"/>
          <w:b/>
          <w:bCs/>
          <w:sz w:val="22"/>
          <w:kern w:val="0"/>
        </w:rPr>
        <w:t>Correspondence</w:t>
      </w:r>
      <w:r>
        <w:rPr>
          <w:rFonts w:ascii="Times New Roman" w:eastAsiaTheme="minorHAnsi" w:hAnsi="Times New Roman" w:cs="Times New Roman"/>
          <w:sz w:val="22"/>
          <w:kern w:val="0"/>
        </w:rPr>
        <w:t xml:space="preserve">: </w:t>
      </w:r>
      <w:r>
        <w:rPr>
          <w:rFonts w:ascii="Times New Roman" w:eastAsiaTheme="minorHAnsi" w:hAnsi="Times New Roman" w:cs="Times New Roman"/>
          <w:sz w:val="22"/>
          <w:kern w:val="0"/>
        </w:rPr>
        <w:t>Seung-Gul Kang, M</w:t>
      </w:r>
      <w:r>
        <w:rPr>
          <w:rFonts w:ascii="Times New Roman" w:eastAsiaTheme="minorHAnsi" w:hAnsi="Times New Roman" w:cs="Times New Roman"/>
          <w:sz w:val="22"/>
          <w:kern w:val="0"/>
        </w:rPr>
        <w:t>.</w:t>
      </w:r>
      <w:r>
        <w:rPr>
          <w:rFonts w:ascii="Times New Roman" w:eastAsiaTheme="minorHAnsi" w:hAnsi="Times New Roman" w:cs="Times New Roman"/>
          <w:sz w:val="22"/>
          <w:kern w:val="0"/>
        </w:rPr>
        <w:t>D</w:t>
      </w:r>
      <w:r>
        <w:rPr>
          <w:rFonts w:ascii="Times New Roman" w:eastAsiaTheme="minorHAnsi" w:hAnsi="Times New Roman" w:cs="Times New Roman"/>
          <w:sz w:val="22"/>
          <w:kern w:val="0"/>
        </w:rPr>
        <w:t>.</w:t>
      </w:r>
      <w:r>
        <w:rPr>
          <w:rFonts w:ascii="Times New Roman" w:eastAsiaTheme="minorHAnsi" w:hAnsi="Times New Roman" w:cs="Times New Roman"/>
          <w:sz w:val="22"/>
          <w:kern w:val="0"/>
        </w:rPr>
        <w:t>, Ph</w:t>
      </w:r>
      <w:r>
        <w:rPr>
          <w:rFonts w:ascii="Times New Roman" w:eastAsiaTheme="minorHAnsi" w:hAnsi="Times New Roman" w:cs="Times New Roman"/>
          <w:sz w:val="22"/>
          <w:kern w:val="0"/>
        </w:rPr>
        <w:t>.</w:t>
      </w:r>
      <w:r>
        <w:rPr>
          <w:rFonts w:ascii="Times New Roman" w:eastAsiaTheme="minorHAnsi" w:hAnsi="Times New Roman" w:cs="Times New Roman"/>
          <w:sz w:val="22"/>
          <w:kern w:val="0"/>
        </w:rPr>
        <w:t>D</w:t>
      </w:r>
      <w:r>
        <w:rPr>
          <w:rFonts w:ascii="Times New Roman" w:eastAsiaTheme="minorHAnsi" w:hAnsi="Times New Roman" w:cs="Times New Roman"/>
          <w:sz w:val="22"/>
          <w:kern w:val="0"/>
        </w:rPr>
        <w:t>.</w:t>
      </w:r>
    </w:p>
    <w:p>
      <w:pPr>
        <w:adjustRightInd/>
        <w:wordWrap/>
        <w:jc w:val="left"/>
        <w:tabs>
          <w:tab w:val="left" w:pos="1309"/>
        </w:tabs>
        <w:spacing w:line="480" w:lineRule="auto"/>
        <w:rPr>
          <w:rFonts w:ascii="Times New Roman" w:eastAsiaTheme="minorHAnsi" w:hAnsi="Times New Roman" w:cs="Times New Roman"/>
          <w:sz w:val="22"/>
          <w:kern w:val="0"/>
        </w:rPr>
      </w:pPr>
      <w:r>
        <w:rPr>
          <w:rFonts w:ascii="Times New Roman" w:eastAsiaTheme="minorHAnsi" w:hAnsi="Times New Roman" w:cs="Times New Roman"/>
          <w:sz w:val="22"/>
          <w:kern w:val="0"/>
        </w:rPr>
        <w:t xml:space="preserve">Department of Psychiatry, Gil Medical Center, </w:t>
      </w:r>
      <w:r>
        <w:rPr>
          <w:rFonts w:ascii="Times New Roman" w:eastAsiaTheme="minorHAnsi" w:hAnsi="Times New Roman" w:cs="Times New Roman"/>
          <w:sz w:val="22"/>
          <w:kern w:val="0"/>
        </w:rPr>
        <w:t>Gachon</w:t>
      </w:r>
      <w:r>
        <w:rPr>
          <w:rFonts w:ascii="Times New Roman" w:eastAsiaTheme="minorHAnsi" w:hAnsi="Times New Roman" w:cs="Times New Roman"/>
          <w:sz w:val="22"/>
          <w:kern w:val="0"/>
        </w:rPr>
        <w:t xml:space="preserve"> University, College of Medicine</w:t>
      </w:r>
    </w:p>
    <w:p>
      <w:pPr>
        <w:adjustRightInd/>
        <w:wordWrap/>
        <w:jc w:val="left"/>
        <w:tabs>
          <w:tab w:val="left" w:pos="1309"/>
        </w:tabs>
        <w:spacing w:line="480" w:lineRule="auto"/>
        <w:rPr>
          <w:rFonts w:ascii="Times New Roman" w:eastAsiaTheme="minorHAnsi" w:hAnsi="Times New Roman" w:cs="Times New Roman"/>
          <w:sz w:val="22"/>
          <w:kern w:val="0"/>
        </w:rPr>
      </w:pPr>
      <w:r>
        <w:rPr>
          <w:rFonts w:ascii="Times New Roman" w:eastAsiaTheme="minorHAnsi" w:hAnsi="Times New Roman" w:cs="Times New Roman"/>
          <w:sz w:val="22"/>
          <w:kern w:val="0"/>
        </w:rPr>
        <w:t xml:space="preserve">21, </w:t>
      </w:r>
      <w:r>
        <w:rPr>
          <w:rFonts w:ascii="Times New Roman" w:eastAsiaTheme="minorHAnsi" w:hAnsi="Times New Roman" w:cs="Times New Roman"/>
          <w:sz w:val="22"/>
          <w:kern w:val="0"/>
        </w:rPr>
        <w:t>Namdong-daero</w:t>
      </w:r>
      <w:r>
        <w:rPr>
          <w:rFonts w:ascii="Times New Roman" w:eastAsiaTheme="minorHAnsi" w:hAnsi="Times New Roman" w:cs="Times New Roman"/>
          <w:sz w:val="22"/>
          <w:kern w:val="0"/>
        </w:rPr>
        <w:t xml:space="preserve"> 774 </w:t>
      </w:r>
      <w:r>
        <w:rPr>
          <w:rFonts w:ascii="Times New Roman" w:eastAsiaTheme="minorHAnsi" w:hAnsi="Times New Roman" w:cs="Times New Roman"/>
          <w:sz w:val="22"/>
          <w:kern w:val="0"/>
        </w:rPr>
        <w:t>beon-gil</w:t>
      </w:r>
      <w:r>
        <w:rPr>
          <w:rFonts w:ascii="Times New Roman" w:eastAsiaTheme="minorHAnsi" w:hAnsi="Times New Roman" w:cs="Times New Roman"/>
          <w:sz w:val="22"/>
          <w:kern w:val="0"/>
        </w:rPr>
        <w:t xml:space="preserve">, </w:t>
      </w:r>
      <w:r>
        <w:rPr>
          <w:rFonts w:ascii="Times New Roman" w:eastAsiaTheme="minorHAnsi" w:hAnsi="Times New Roman" w:cs="Times New Roman"/>
          <w:sz w:val="22"/>
          <w:kern w:val="0"/>
        </w:rPr>
        <w:t>Namdong-gu</w:t>
      </w:r>
      <w:r>
        <w:rPr>
          <w:rFonts w:ascii="Times New Roman" w:eastAsiaTheme="minorHAnsi" w:hAnsi="Times New Roman" w:cs="Times New Roman"/>
          <w:sz w:val="22"/>
          <w:kern w:val="0"/>
        </w:rPr>
        <w:t>, Incheon, 21565, Republic of Korea</w:t>
      </w:r>
    </w:p>
    <w:p>
      <w:pPr>
        <w:adjustRightInd/>
        <w:wordWrap/>
        <w:jc w:val="left"/>
        <w:spacing w:line="480" w:lineRule="auto"/>
        <w:rPr>
          <w:rFonts w:ascii="Times New Roman" w:eastAsiaTheme="minorHAnsi" w:hAnsi="Times New Roman" w:cs="Times New Roman"/>
          <w:sz w:val="22"/>
          <w:kern w:val="0"/>
        </w:rPr>
      </w:pPr>
      <w:r>
        <w:rPr>
          <w:rFonts w:ascii="Times New Roman" w:eastAsiaTheme="minorHAnsi" w:hAnsi="Times New Roman" w:cs="Times New Roman"/>
          <w:sz w:val="22"/>
          <w:kern w:val="0"/>
        </w:rPr>
        <w:t>Tel +82-32-468-9932</w:t>
      </w:r>
    </w:p>
    <w:p>
      <w:pPr>
        <w:adjustRightInd/>
        <w:wordWrap/>
        <w:jc w:val="left"/>
        <w:spacing w:line="480" w:lineRule="auto"/>
        <w:rPr>
          <w:rFonts w:ascii="Times New Roman" w:eastAsiaTheme="minorHAnsi" w:hAnsi="Times New Roman" w:cs="Times New Roman"/>
          <w:sz w:val="22"/>
          <w:kern w:val="0"/>
        </w:rPr>
      </w:pPr>
      <w:r>
        <w:rPr>
          <w:rFonts w:ascii="Times New Roman" w:eastAsiaTheme="minorHAnsi" w:hAnsi="Times New Roman" w:cs="Times New Roman"/>
          <w:sz w:val="22"/>
          <w:kern w:val="0"/>
        </w:rPr>
        <w:t>Fax +82-32-468-9962</w:t>
      </w:r>
    </w:p>
    <w:p>
      <w:pPr>
        <w:adjustRightInd/>
        <w:wordWrap/>
        <w:jc w:val="left"/>
        <w:tabs>
          <w:tab w:val="left" w:pos="1309"/>
        </w:tabs>
        <w:spacing w:line="480" w:lineRule="auto"/>
        <w:rPr>
          <w:rFonts w:ascii="Times New Roman" w:eastAsiaTheme="minorHAnsi" w:hAnsi="Times New Roman" w:cs="Times New Roman"/>
          <w:sz w:val="22"/>
          <w:kern w:val="0"/>
        </w:rPr>
      </w:pPr>
      <w:r>
        <w:rPr>
          <w:rFonts w:ascii="Times New Roman" w:eastAsiaTheme="minorHAnsi" w:hAnsi="Times New Roman" w:cs="Times New Roman"/>
          <w:sz w:val="22"/>
          <w:kern w:val="0"/>
        </w:rPr>
        <w:t>Email</w:t>
      </w:r>
      <w:r>
        <w:rPr>
          <w:rFonts w:ascii="Times New Roman" w:eastAsiaTheme="minorHAnsi" w:hAnsi="Times New Roman" w:cs="Times New Roman"/>
          <w:sz w:val="22"/>
          <w:kern w:val="0"/>
        </w:rPr>
        <w:t>:</w:t>
      </w:r>
      <w:r>
        <w:rPr>
          <w:rFonts w:ascii="Times New Roman" w:eastAsiaTheme="minorHAnsi" w:hAnsi="Times New Roman" w:cs="Times New Roman"/>
          <w:sz w:val="22"/>
          <w:kern w:val="0"/>
        </w:rPr>
        <w:t xml:space="preserve"> </w:t>
      </w:r>
      <w:r>
        <w:fldChar w:fldCharType="begin"/>
      </w:r>
      <w:r>
        <w:instrText xml:space="preserve"> HYPERLINK "mailto:kangsg@gachon.ac.kr" </w:instrText>
      </w:r>
      <w:r>
        <w:fldChar w:fldCharType="separate"/>
      </w:r>
      <w:r>
        <w:rPr>
          <w:rStyle w:val="a3"/>
          <w:rFonts w:ascii="Times New Roman" w:eastAsiaTheme="minorHAnsi" w:hAnsi="Times New Roman" w:cs="Times New Roman"/>
          <w:sz w:val="22"/>
          <w:kern w:val="0"/>
        </w:rPr>
        <w:t>kangsg@gachon.ac.kr</w:t>
      </w:r>
      <w:r>
        <w:fldChar w:fldCharType="end"/>
      </w:r>
    </w:p>
    <w:p>
      <w:pPr>
        <w:adjustRightInd/>
        <w:wordWrap/>
        <w:jc w:val="left"/>
        <w:spacing w:line="480" w:lineRule="auto"/>
        <w:rPr>
          <w:rFonts w:ascii="Times New Roman" w:eastAsiaTheme="minorHAnsi" w:hAnsi="Times New Roman" w:cs="Times New Roman"/>
          <w:sz w:val="22"/>
          <w:kern w:val="0"/>
        </w:rPr>
      </w:pPr>
      <w:r>
        <w:rPr>
          <w:rFonts w:ascii="Times New Roman" w:eastAsiaTheme="minorHAnsi" w:hAnsi="Times New Roman" w:cs="Times New Roman"/>
          <w:b/>
          <w:bCs/>
          <w:color w:val="231F20"/>
          <w:sz w:val="22"/>
          <w:vertAlign w:val="superscript"/>
        </w:rPr>
        <w:t xml:space="preserve">¶ </w:t>
      </w:r>
      <w:r>
        <w:rPr>
          <w:rFonts w:ascii="Times New Roman" w:eastAsiaTheme="minorHAnsi" w:hAnsi="Times New Roman" w:cs="Times New Roman"/>
          <w:b/>
          <w:bCs/>
          <w:sz w:val="22"/>
          <w:kern w:val="0"/>
        </w:rPr>
        <w:t>Correspondence</w:t>
      </w:r>
      <w:r>
        <w:rPr>
          <w:rFonts w:ascii="Times New Roman" w:eastAsiaTheme="minorHAnsi" w:hAnsi="Times New Roman" w:cs="Times New Roman"/>
          <w:sz w:val="22"/>
          <w:kern w:val="0"/>
        </w:rPr>
        <w:t xml:space="preserve">: </w:t>
      </w:r>
      <w:r>
        <w:rPr>
          <w:rFonts w:ascii="Times New Roman" w:eastAsiaTheme="minorHAnsi" w:hAnsi="Times New Roman" w:cs="Times New Roman"/>
          <w:sz w:val="22"/>
          <w:kern w:val="0"/>
        </w:rPr>
        <w:t>Seon Tae Kim, M.D., Ph.D.</w:t>
      </w:r>
    </w:p>
    <w:p>
      <w:pPr>
        <w:adjustRightInd/>
        <w:wordWrap/>
        <w:jc w:val="left"/>
        <w:spacing w:line="480" w:lineRule="auto"/>
        <w:rPr>
          <w:rFonts w:ascii="Times New Roman" w:eastAsiaTheme="minorHAnsi" w:hAnsi="Times New Roman" w:cs="Times New Roman"/>
          <w:sz w:val="22"/>
          <w:kern w:val="0"/>
        </w:rPr>
      </w:pPr>
      <w:r>
        <w:rPr>
          <w:rFonts w:ascii="Times New Roman" w:eastAsiaTheme="minorHAnsi" w:hAnsi="Times New Roman" w:cs="Times New Roman"/>
          <w:sz w:val="22"/>
          <w:kern w:val="0"/>
        </w:rPr>
        <w:t xml:space="preserve">Department of Otolaryngology, Gil Medical Center, </w:t>
      </w:r>
      <w:r>
        <w:rPr>
          <w:rFonts w:ascii="Times New Roman" w:eastAsiaTheme="minorHAnsi" w:hAnsi="Times New Roman" w:cs="Times New Roman"/>
          <w:sz w:val="22"/>
          <w:kern w:val="0"/>
        </w:rPr>
        <w:t>Gachon</w:t>
      </w:r>
      <w:r>
        <w:rPr>
          <w:rFonts w:ascii="Times New Roman" w:eastAsiaTheme="minorHAnsi" w:hAnsi="Times New Roman" w:cs="Times New Roman"/>
          <w:sz w:val="22"/>
          <w:kern w:val="0"/>
        </w:rPr>
        <w:t xml:space="preserve"> University, College of Medicine</w:t>
      </w:r>
    </w:p>
    <w:p>
      <w:pPr>
        <w:adjustRightInd/>
        <w:wordWrap/>
        <w:jc w:val="left"/>
        <w:spacing w:line="480" w:lineRule="auto"/>
        <w:rPr>
          <w:rFonts w:ascii="Times New Roman" w:eastAsiaTheme="minorHAnsi" w:hAnsi="Times New Roman" w:cs="Times New Roman"/>
          <w:sz w:val="22"/>
          <w:kern w:val="0"/>
        </w:rPr>
      </w:pPr>
      <w:r>
        <w:rPr>
          <w:rFonts w:ascii="Times New Roman" w:eastAsiaTheme="minorHAnsi" w:hAnsi="Times New Roman" w:cs="Times New Roman"/>
          <w:sz w:val="22"/>
          <w:kern w:val="0"/>
        </w:rPr>
        <w:t xml:space="preserve">21, </w:t>
      </w:r>
      <w:r>
        <w:rPr>
          <w:rFonts w:ascii="Times New Roman" w:eastAsiaTheme="minorHAnsi" w:hAnsi="Times New Roman" w:cs="Times New Roman"/>
          <w:sz w:val="22"/>
          <w:kern w:val="0"/>
        </w:rPr>
        <w:t>Namdong-daero</w:t>
      </w:r>
      <w:r>
        <w:rPr>
          <w:rFonts w:ascii="Times New Roman" w:eastAsiaTheme="minorHAnsi" w:hAnsi="Times New Roman" w:cs="Times New Roman"/>
          <w:sz w:val="22"/>
          <w:kern w:val="0"/>
        </w:rPr>
        <w:t xml:space="preserve"> 774 </w:t>
      </w:r>
      <w:r>
        <w:rPr>
          <w:rFonts w:ascii="Times New Roman" w:eastAsiaTheme="minorHAnsi" w:hAnsi="Times New Roman" w:cs="Times New Roman"/>
          <w:sz w:val="22"/>
          <w:kern w:val="0"/>
        </w:rPr>
        <w:t>beon-gil</w:t>
      </w:r>
      <w:r>
        <w:rPr>
          <w:rFonts w:ascii="Times New Roman" w:eastAsiaTheme="minorHAnsi" w:hAnsi="Times New Roman" w:cs="Times New Roman"/>
          <w:sz w:val="22"/>
          <w:kern w:val="0"/>
        </w:rPr>
        <w:t xml:space="preserve">, </w:t>
      </w:r>
      <w:r>
        <w:rPr>
          <w:rFonts w:ascii="Times New Roman" w:eastAsiaTheme="minorHAnsi" w:hAnsi="Times New Roman" w:cs="Times New Roman"/>
          <w:sz w:val="22"/>
          <w:kern w:val="0"/>
        </w:rPr>
        <w:t>Namdong-gu</w:t>
      </w:r>
      <w:r>
        <w:rPr>
          <w:rFonts w:ascii="Times New Roman" w:eastAsiaTheme="minorHAnsi" w:hAnsi="Times New Roman" w:cs="Times New Roman"/>
          <w:sz w:val="22"/>
          <w:kern w:val="0"/>
        </w:rPr>
        <w:t>, Incheon, 21565, Republic of Korea</w:t>
      </w:r>
    </w:p>
    <w:p>
      <w:pPr>
        <w:adjustRightInd/>
        <w:wordWrap/>
        <w:jc w:val="left"/>
        <w:spacing w:line="480" w:lineRule="auto"/>
        <w:rPr>
          <w:rFonts w:ascii="Times New Roman" w:eastAsiaTheme="minorHAnsi" w:hAnsi="Times New Roman" w:cs="Times New Roman"/>
          <w:sz w:val="22"/>
          <w:kern w:val="0"/>
        </w:rPr>
      </w:pPr>
      <w:r>
        <w:rPr>
          <w:rFonts w:ascii="Times New Roman" w:eastAsiaTheme="minorHAnsi" w:hAnsi="Times New Roman" w:cs="Times New Roman"/>
          <w:sz w:val="22"/>
          <w:kern w:val="0"/>
        </w:rPr>
        <w:t>Tel +82-32-460-3324</w:t>
      </w:r>
    </w:p>
    <w:p>
      <w:pPr>
        <w:adjustRightInd/>
        <w:wordWrap/>
        <w:jc w:val="left"/>
        <w:spacing w:line="480" w:lineRule="auto"/>
        <w:rPr>
          <w:rFonts w:ascii="Times New Roman" w:eastAsiaTheme="minorHAnsi" w:hAnsi="Times New Roman" w:cs="Times New Roman"/>
          <w:sz w:val="22"/>
          <w:kern w:val="0"/>
        </w:rPr>
      </w:pPr>
      <w:r>
        <w:rPr>
          <w:rFonts w:ascii="Times New Roman" w:eastAsiaTheme="minorHAnsi" w:hAnsi="Times New Roman" w:cs="Times New Roman"/>
          <w:sz w:val="22"/>
          <w:kern w:val="0"/>
        </w:rPr>
        <w:t>Fax +82-32-467-9044</w:t>
      </w:r>
    </w:p>
    <w:p>
      <w:pPr>
        <w:adjustRightInd/>
        <w:wordWrap/>
        <w:jc w:val="left"/>
        <w:spacing w:line="480" w:lineRule="auto"/>
        <w:rPr>
          <w:rFonts w:ascii="Times New Roman" w:eastAsiaTheme="minorHAnsi" w:hAnsi="Times New Roman" w:cs="Times New Roman"/>
          <w:sz w:val="22"/>
          <w:kern w:val="0"/>
        </w:rPr>
      </w:pPr>
      <w:r>
        <w:rPr>
          <w:rFonts w:ascii="Times New Roman" w:eastAsiaTheme="minorHAnsi" w:hAnsi="Times New Roman" w:cs="Times New Roman"/>
          <w:sz w:val="22"/>
          <w:kern w:val="0"/>
        </w:rPr>
        <w:t xml:space="preserve">Email: </w:t>
      </w:r>
      <w:r>
        <w:fldChar w:fldCharType="begin"/>
      </w:r>
      <w:r>
        <w:instrText xml:space="preserve"> HYPERLINK "mailto:kst2383@gilhospital.com" </w:instrText>
      </w:r>
      <w:r>
        <w:fldChar w:fldCharType="separate"/>
      </w:r>
      <w:r>
        <w:rPr>
          <w:rStyle w:val="a3"/>
          <w:rFonts w:ascii="Times New Roman" w:eastAsiaTheme="minorHAnsi" w:hAnsi="Times New Roman" w:cs="Times New Roman"/>
          <w:sz w:val="22"/>
          <w:kern w:val="0"/>
        </w:rPr>
        <w:t>kst2383@gilhospital.com</w:t>
      </w:r>
      <w:r>
        <w:fldChar w:fldCharType="end"/>
      </w:r>
    </w:p>
    <w:p>
      <w:pPr>
        <w:adjustRightInd/>
        <w:wordWrap/>
        <w:jc w:val="left"/>
        <w:spacing w:line="480" w:lineRule="auto"/>
        <w:rPr>
          <w:rFonts w:ascii="Times New Roman" w:eastAsiaTheme="minorHAnsi" w:hAnsi="Times New Roman" w:cs="Times New Roman"/>
          <w:color w:val="231F20"/>
          <w:sz w:val="22"/>
          <w:kern w:val="0"/>
        </w:rPr>
      </w:pPr>
    </w:p>
    <w:p>
      <w:pPr>
        <w:jc w:val="left"/>
        <w:spacing w:line="480" w:lineRule="auto"/>
        <w:rPr>
          <w:rFonts w:ascii="Times New Roman" w:hAnsi="Times New Roman" w:cs="Times New Roman"/>
          <w:b/>
          <w:bCs/>
          <w:sz w:val="22"/>
        </w:rPr>
      </w:pPr>
      <w:r>
        <w:rPr>
          <w:rFonts w:ascii="Times New Roman" w:hAnsi="Times New Roman" w:cs="Times New Roman"/>
          <w:b/>
          <w:bCs/>
          <w:sz w:val="22"/>
        </w:rPr>
        <w:t>A</w:t>
      </w:r>
      <w:r>
        <w:rPr>
          <w:rFonts w:ascii="Times New Roman" w:hAnsi="Times New Roman" w:cs="Times New Roman" w:hint="eastAsia"/>
          <w:b/>
          <w:bCs/>
          <w:sz w:val="22"/>
        </w:rPr>
        <w:t>uthor</w:t>
      </w:r>
      <w:r>
        <w:rPr>
          <w:rFonts w:ascii="Times New Roman" w:hAnsi="Times New Roman" w:cs="Times New Roman"/>
          <w:b/>
          <w:bCs/>
          <w:sz w:val="22"/>
        </w:rPr>
        <w:t xml:space="preserve"> C</w:t>
      </w:r>
      <w:r>
        <w:rPr>
          <w:rFonts w:ascii="Times New Roman" w:hAnsi="Times New Roman" w:cs="Times New Roman" w:hint="eastAsia"/>
          <w:b/>
          <w:bCs/>
          <w:sz w:val="22"/>
        </w:rPr>
        <w:t>ontributions</w:t>
      </w:r>
      <w:r>
        <w:rPr>
          <w:rFonts w:ascii="Times New Roman" w:hAnsi="Times New Roman" w:cs="Times New Roman"/>
          <w:b/>
          <w:bCs/>
          <w:sz w:val="22"/>
        </w:rPr>
        <w:t xml:space="preserve"> (Use </w:t>
      </w:r>
      <w:r>
        <w:rPr>
          <w:rFonts w:ascii="Times New Roman" w:hAnsi="Times New Roman" w:cs="Times New Roman"/>
          <w:b/>
          <w:bCs/>
          <w:sz w:val="22"/>
        </w:rPr>
        <w:t>CRediT</w:t>
      </w:r>
      <w:r>
        <w:rPr>
          <w:rFonts w:ascii="Times New Roman" w:hAnsi="Times New Roman" w:cs="Times New Roman"/>
          <w:b/>
          <w:bCs/>
          <w:sz w:val="22"/>
        </w:rPr>
        <w:t xml:space="preserve"> terms)</w:t>
      </w:r>
    </w:p>
    <w:p>
      <w:pPr>
        <w:ind w:leftChars="283" w:left="566" w:firstLine="1"/>
        <w:wordWrap/>
        <w:spacing w:line="480" w:lineRule="auto"/>
        <w:rPr>
          <w:rFonts w:ascii="Times New Roman" w:hAnsi="Times New Roman" w:cs="Times New Roman"/>
          <w:sz w:val="22"/>
        </w:rPr>
      </w:pPr>
      <w:r>
        <w:rPr>
          <w:rFonts w:ascii="Times New Roman" w:hAnsi="Times New Roman" w:cs="Times New Roman"/>
          <w:sz w:val="22"/>
        </w:rPr>
        <w:t>Conceptualization: Kang SG, Kim ST. Data curation: Jung JH, Cho MY, Kang SG, Kim ST. Formal analysis: Kang SG. Funding acquisition: Kang SG, Kim ST. Investigation: Cho SE, Jung JH, Kang JM, Cho MY, Lee YS, Kang SG, Kim ST. Methodology: Kang SG, Kim ST. Validation: Kang SG, Kim ST. Writing - original draft: Cho SE, Jung JH, Kang SG, Kim ST. Writing - review &amp; editing: Cho SE, Jung JH, Kang JM, Cho MY, Lee YS, Kang SG, Kim ST.</w:t>
      </w:r>
    </w:p>
    <w:p>
      <w:pPr>
        <w:spacing w:line="480" w:lineRule="auto"/>
        <w:rPr>
          <w:rFonts w:ascii="Times New Roman" w:eastAsiaTheme="minorHAnsi" w:hAnsi="Times New Roman" w:cs="Times New Roman"/>
          <w:sz w:val="22"/>
        </w:rPr>
      </w:pPr>
    </w:p>
    <w:p>
      <w:pPr>
        <w:jc w:val="left"/>
        <w:spacing w:line="480" w:lineRule="auto"/>
        <w:rPr>
          <w:rFonts w:ascii="Times New Roman" w:hAnsi="Times New Roman" w:cs="Times New Roman"/>
          <w:b/>
          <w:bCs/>
          <w:sz w:val="22"/>
        </w:rPr>
      </w:pPr>
      <w:r>
        <w:rPr>
          <w:rFonts w:ascii="Times New Roman" w:hAnsi="Times New Roman" w:cs="Times New Roman"/>
          <w:b/>
          <w:bCs/>
          <w:sz w:val="22"/>
        </w:rPr>
        <w:t>ORCID</w:t>
      </w:r>
      <w:r>
        <w:rPr>
          <w:rFonts w:ascii="Times New Roman" w:hAnsi="Times New Roman" w:cs="Times New Roman" w:hint="eastAsia"/>
          <w:b/>
          <w:bCs/>
          <w:sz w:val="22"/>
        </w:rPr>
        <w:t xml:space="preserve"> </w:t>
      </w:r>
      <w:r>
        <w:rPr>
          <w:rFonts w:ascii="Times New Roman" w:hAnsi="Times New Roman" w:cs="Times New Roman"/>
          <w:b/>
          <w:bCs/>
          <w:sz w:val="22"/>
        </w:rPr>
        <w:t>iDs</w:t>
      </w:r>
    </w:p>
    <w:p>
      <w:pPr>
        <w:ind w:leftChars="213" w:left="426"/>
        <w:jc w:val="left"/>
        <w:spacing w:line="480" w:lineRule="auto"/>
        <w:rPr>
          <w:rFonts w:ascii="Times New Roman" w:eastAsiaTheme="minorHAnsi" w:hAnsi="Times New Roman" w:cs="Times New Roman"/>
          <w:sz w:val="22"/>
          <w:shd w:val="clear" w:color="auto" w:fill="FFFFFF"/>
        </w:rPr>
      </w:pPr>
      <w:r>
        <w:rPr>
          <w:rFonts w:ascii="Times New Roman" w:eastAsiaTheme="minorHAnsi" w:hAnsi="Times New Roman" w:cs="Times New Roman"/>
          <w:sz w:val="22"/>
        </w:rPr>
        <w:t xml:space="preserve">Seo-Eun Cho </w:t>
      </w:r>
      <w:r>
        <w:rPr>
          <w:rFonts w:ascii="Times New Roman" w:hAnsi="Times New Roman" w:cs="Times New Roman"/>
          <w:sz w:val="22"/>
        </w:rPr>
        <w:t>https://orcid.org/</w:t>
      </w:r>
      <w:r>
        <w:rPr>
          <w:rFonts w:ascii="Times New Roman" w:eastAsia="신명조" w:hAnsi="Times New Roman" w:cs="Times New Roman"/>
          <w:bCs/>
          <w:sz w:val="22"/>
          <w:kern w:val="0"/>
        </w:rPr>
        <w:t>0000-0002-3991-2192</w:t>
      </w:r>
      <w:r>
        <w:rPr>
          <w:rFonts w:ascii="Times New Roman" w:eastAsiaTheme="minorHAnsi" w:hAnsi="Times New Roman" w:cs="Times New Roman"/>
          <w:sz w:val="22"/>
          <w:shd w:val="clear" w:color="auto" w:fill="FFFFFF"/>
        </w:rPr>
        <w:t xml:space="preserve"> </w:t>
      </w:r>
    </w:p>
    <w:p>
      <w:pPr>
        <w:ind w:leftChars="213" w:left="426"/>
        <w:jc w:val="left"/>
        <w:spacing w:line="480" w:lineRule="auto"/>
        <w:rPr>
          <w:rFonts w:ascii="Times New Roman" w:hAnsi="Times New Roman" w:cs="Times New Roman"/>
          <w:sz w:val="22"/>
        </w:rPr>
      </w:pPr>
      <w:r>
        <w:rPr>
          <w:rFonts w:ascii="Times New Roman" w:eastAsiaTheme="minorHAnsi" w:hAnsi="Times New Roman" w:cs="Times New Roman"/>
          <w:sz w:val="22"/>
          <w:shd w:val="clear" w:color="auto" w:fill="FFFFFF"/>
        </w:rPr>
        <w:t xml:space="preserve">Joo Hyun Jung </w:t>
      </w:r>
      <w:r>
        <w:fldChar w:fldCharType="begin"/>
      </w:r>
      <w:r>
        <w:instrText xml:space="preserve"> HYPERLINK "https://orcid.org/0000-0001-7556-1775" </w:instrText>
      </w:r>
      <w:r>
        <w:fldChar w:fldCharType="separate"/>
      </w:r>
      <w:r>
        <w:rPr>
          <w:rStyle w:val="a3"/>
          <w:rFonts w:ascii="Times New Roman" w:hAnsi="Times New Roman" w:cs="Times New Roman"/>
          <w:sz w:val="22"/>
        </w:rPr>
        <w:t>https://orcid.org/0000-0001-7556-1775</w:t>
      </w:r>
      <w:r>
        <w:fldChar w:fldCharType="end"/>
      </w:r>
    </w:p>
    <w:p>
      <w:pPr>
        <w:ind w:leftChars="213" w:left="426"/>
        <w:jc w:val="left"/>
        <w:spacing w:line="480" w:lineRule="auto"/>
        <w:rPr>
          <w:rFonts w:ascii="Times New Roman" w:eastAsiaTheme="minorHAnsi" w:hAnsi="Times New Roman" w:cs="Times New Roman"/>
          <w:sz w:val="22"/>
          <w:highlight w:val="yellow"/>
          <w:shd w:val="clear" w:color="auto" w:fill="FFFFFF"/>
        </w:rPr>
      </w:pPr>
      <w:r>
        <w:rPr>
          <w:rFonts w:ascii="Times New Roman" w:eastAsiaTheme="minorHAnsi" w:hAnsi="Times New Roman" w:cs="Times New Roman"/>
          <w:sz w:val="22"/>
          <w:shd w:val="clear" w:color="auto" w:fill="FFFFFF"/>
        </w:rPr>
        <w:t xml:space="preserve">Jae Myeong Kang </w:t>
      </w:r>
      <w:r>
        <w:rPr>
          <w:rFonts w:ascii="Times New Roman" w:hAnsi="Times New Roman" w:cs="Times New Roman"/>
          <w:sz w:val="22"/>
        </w:rPr>
        <w:t>https://orcid.org/</w:t>
      </w:r>
      <w:r>
        <w:rPr>
          <w:rFonts w:ascii="Times New Roman" w:eastAsia="신명조" w:hAnsi="Times New Roman" w:cs="Times New Roman"/>
          <w:bCs/>
          <w:sz w:val="22"/>
          <w:kern w:val="0"/>
        </w:rPr>
        <w:t>0000-0003-0803-9332</w:t>
      </w:r>
    </w:p>
    <w:p>
      <w:pPr>
        <w:ind w:leftChars="213" w:left="426"/>
        <w:jc w:val="left"/>
        <w:spacing w:line="480" w:lineRule="auto"/>
        <w:rPr>
          <w:rFonts w:ascii="Times New Roman" w:eastAsiaTheme="minorHAnsi" w:hAnsi="Times New Roman" w:cs="Times New Roman"/>
          <w:sz w:val="22"/>
        </w:rPr>
      </w:pPr>
      <w:r>
        <w:rPr>
          <w:rFonts w:ascii="Times New Roman" w:eastAsiaTheme="minorHAnsi" w:hAnsi="Times New Roman" w:cs="Times New Roman"/>
          <w:sz w:val="22"/>
        </w:rPr>
        <w:t xml:space="preserve">Min Young Cho </w:t>
      </w:r>
      <w:r>
        <w:rPr>
          <w:rStyle w:val="a3"/>
          <w:rFonts w:ascii="Times New Roman" w:eastAsiaTheme="minorHAnsi" w:hAnsi="Times New Roman" w:cs="Times New Roman"/>
          <w:sz w:val="22"/>
        </w:rPr>
        <w:t>https://orcid.org/0000-0001-7089-241X</w:t>
      </w:r>
    </w:p>
    <w:p>
      <w:pPr>
        <w:ind w:leftChars="213" w:left="426"/>
        <w:jc w:val="left"/>
        <w:spacing w:line="480" w:lineRule="auto"/>
        <w:rPr>
          <w:rFonts w:ascii="Times New Roman" w:eastAsiaTheme="minorHAnsi" w:hAnsi="Times New Roman" w:cs="Times New Roman"/>
          <w:sz w:val="22"/>
        </w:rPr>
      </w:pPr>
      <w:r>
        <w:rPr>
          <w:rFonts w:ascii="Times New Roman" w:eastAsiaTheme="minorHAnsi" w:hAnsi="Times New Roman" w:cs="Times New Roman"/>
          <w:sz w:val="22"/>
        </w:rPr>
        <w:t>Yea Seol Lee https://orcid.org/0000-0002-7834-9013</w:t>
      </w:r>
    </w:p>
    <w:p>
      <w:pPr>
        <w:ind w:leftChars="213" w:left="426"/>
        <w:jc w:val="left"/>
        <w:spacing w:line="480" w:lineRule="auto"/>
        <w:rPr>
          <w:rFonts w:ascii="Times New Roman" w:eastAsiaTheme="minorHAnsi" w:hAnsi="Times New Roman" w:cs="Times New Roman"/>
          <w:sz w:val="22"/>
        </w:rPr>
      </w:pPr>
      <w:r>
        <w:rPr>
          <w:rFonts w:ascii="Times New Roman" w:eastAsiaTheme="minorHAnsi" w:hAnsi="Times New Roman" w:cs="Times New Roman"/>
          <w:sz w:val="22"/>
        </w:rPr>
        <w:t>Seung-Gul Kang https://orcid.org/</w:t>
      </w:r>
      <w:r>
        <w:rPr>
          <w:rFonts w:ascii="Times New Roman" w:eastAsia="신명조" w:hAnsi="Times New Roman" w:cs="Times New Roman"/>
          <w:bCs/>
          <w:sz w:val="22"/>
          <w:kern w:val="0"/>
        </w:rPr>
        <w:t>0000-0003-4933-0433</w:t>
      </w:r>
    </w:p>
    <w:p>
      <w:pPr>
        <w:ind w:leftChars="213" w:left="426"/>
        <w:jc w:val="left"/>
        <w:spacing w:line="480" w:lineRule="auto"/>
        <w:rPr>
          <w:rFonts w:ascii="Times New Roman" w:eastAsiaTheme="minorHAnsi" w:hAnsi="Times New Roman" w:cs="Times New Roman"/>
          <w:sz w:val="22"/>
          <w:shd w:val="clear" w:color="auto" w:fill="FFFFFF"/>
        </w:rPr>
      </w:pPr>
      <w:r>
        <w:rPr>
          <w:rFonts w:ascii="Times New Roman" w:eastAsiaTheme="minorHAnsi" w:hAnsi="Times New Roman" w:cs="Times New Roman"/>
          <w:sz w:val="22"/>
          <w:shd w:val="clear" w:color="auto" w:fill="FFFFFF"/>
        </w:rPr>
        <w:t xml:space="preserve">Seon Tae Kim </w:t>
      </w:r>
      <w:r>
        <w:rPr>
          <w:rFonts w:ascii="Times New Roman" w:eastAsiaTheme="minorHAnsi" w:hAnsi="Times New Roman" w:cs="Times New Roman"/>
          <w:sz w:val="22"/>
        </w:rPr>
        <w:t>https://</w:t>
      </w:r>
      <w:r>
        <w:fldChar w:fldCharType="begin"/>
      </w:r>
      <w:r>
        <w:instrText xml:space="preserve"> HYPERLINK "http://orcid.org/0000-0001-6708-2256" \t "_blank"</w:instrText>
      </w:r>
      <w:r>
        <w:fldChar w:fldCharType="separate"/>
      </w:r>
      <w:r>
        <w:rPr>
          <w:rFonts w:ascii="Times New Roman" w:hAnsi="Times New Roman" w:cs="Times New Roman"/>
          <w:sz w:val="22"/>
        </w:rPr>
        <w:t>orcid.org/</w:t>
      </w:r>
      <w:r>
        <w:fldChar w:fldCharType="end"/>
      </w:r>
      <w:r>
        <w:rPr>
          <w:rFonts w:ascii="Times New Roman" w:hAnsi="Times New Roman" w:cs="Times New Roman"/>
          <w:sz w:val="22"/>
        </w:rPr>
        <w:t>0000-0002-2010-2843</w:t>
      </w:r>
      <w:r>
        <w:rPr>
          <w:rFonts w:ascii="Times New Roman" w:eastAsiaTheme="minorHAnsi" w:hAnsi="Times New Roman" w:cs="Times New Roman"/>
          <w:color w:val="000000"/>
          <w:sz w:val="22"/>
          <w:kern w:val="0"/>
        </w:rPr>
        <w:t xml:space="preserve"> </w:t>
      </w:r>
    </w:p>
    <w:p>
      <w:pPr>
        <w:autoSpaceDE/>
        <w:autoSpaceDN/>
        <w:widowControl/>
        <w:wordWrap/>
        <w:jc w:val="left"/>
        <w:spacing w:line="360" w:lineRule="auto"/>
        <w:rPr>
          <w:rFonts w:ascii="Times New Roman" w:hAnsi="Times New Roman" w:cs="Times New Roman"/>
          <w:b/>
          <w:sz w:val="22"/>
        </w:rPr>
        <w:sectPr>
          <w:pgSz w:w="11906" w:h="16838"/>
          <w:pgMar w:top="1701" w:right="1440" w:bottom="1440" w:left="1440" w:header="851" w:footer="992" w:gutter="0"/>
          <w:cols/>
          <w:docGrid w:linePitch="360"/>
          <w:footerReference w:type="default" r:id="rId1"/>
        </w:sectPr>
      </w:pPr>
    </w:p>
    <w:p>
      <w:pPr>
        <w:autoSpaceDE/>
        <w:autoSpaceDN/>
        <w:widowControl/>
        <w:wordWrap/>
        <w:jc w:val="left"/>
        <w:spacing w:line="360" w:lineRule="auto"/>
        <w:rPr>
          <w:rFonts w:ascii="Times New Roman" w:hAnsi="Times New Roman" w:cs="Times New Roman"/>
          <w:sz w:val="22"/>
        </w:rPr>
      </w:pPr>
      <w:r>
        <w:rPr>
          <w:rFonts w:ascii="Times New Roman" w:hAnsi="Times New Roman" w:cs="Times New Roman"/>
          <w:b/>
          <w:sz w:val="22"/>
        </w:rPr>
        <w:t>Abstract</w:t>
      </w:r>
      <w:r>
        <w:rPr>
          <w:rFonts w:ascii="Times New Roman" w:hAnsi="Times New Roman" w:cs="Times New Roman"/>
          <w:b/>
          <w:sz w:val="22"/>
        </w:rPr>
        <w:t xml:space="preserve"> </w:t>
      </w:r>
    </w:p>
    <w:p>
      <w:pPr>
        <w:ind w:firstLine="800"/>
        <w:jc w:val="left"/>
        <w:spacing w:line="480" w:lineRule="auto"/>
        <w:rPr>
          <w:rFonts w:ascii="Times New Roman" w:hAnsi="Times New Roman" w:cs="Times New Roman"/>
          <w:sz w:val="22"/>
        </w:rPr>
      </w:pPr>
      <w:r>
        <w:rPr>
          <w:rFonts w:ascii="Times New Roman" w:hAnsi="Times New Roman" w:cs="Times New Roman"/>
          <w:b/>
          <w:sz w:val="22"/>
        </w:rPr>
        <w:t>Objective</w:t>
      </w:r>
      <w:r>
        <w:rPr>
          <w:rFonts w:ascii="Times New Roman" w:hAnsi="Times New Roman" w:cs="Times New Roman"/>
          <w:sz w:val="22"/>
        </w:rPr>
        <w:t>:</w:t>
      </w:r>
      <w:r>
        <w:rPr>
          <w:rFonts w:ascii="Times New Roman" w:hAnsi="Times New Roman" w:cs="Times New Roman"/>
          <w:sz w:val="22"/>
        </w:rPr>
        <w:t xml:space="preserve"> </w:t>
      </w:r>
      <w:r>
        <w:rPr>
          <w:rFonts w:ascii="Times New Roman" w:hAnsi="Times New Roman" w:cs="Times New Roman"/>
          <w:sz w:val="22"/>
        </w:rPr>
        <w:t>Continuous positive airway pressure (CPAP) is the treatment of choice for obstructive sleep apnea (OSA). However, compliance with CPAP varies from study to study, and studies on predictors of compliance with CPAP are insufficient in Korea. The aim of this study was to identify factors predicting compliance with CPAP therapy in patients with OSA.</w:t>
      </w:r>
    </w:p>
    <w:p>
      <w:pPr>
        <w:ind w:firstLine="800"/>
        <w:jc w:val="left"/>
        <w:spacing w:line="480" w:lineRule="auto"/>
        <w:rPr>
          <w:rFonts w:ascii="Times New Roman" w:hAnsi="Times New Roman" w:cs="Times New Roman"/>
          <w:sz w:val="22"/>
        </w:rPr>
      </w:pPr>
      <w:r>
        <w:rPr>
          <w:rFonts w:ascii="Times New Roman" w:hAnsi="Times New Roman" w:cs="Times New Roman"/>
          <w:b/>
          <w:sz w:val="22"/>
        </w:rPr>
        <w:t>Methods</w:t>
      </w:r>
      <w:r>
        <w:rPr>
          <w:rFonts w:ascii="Times New Roman" w:hAnsi="Times New Roman" w:cs="Times New Roman" w:hint="eastAsia"/>
          <w:sz w:val="22"/>
        </w:rPr>
        <w:t>:</w:t>
      </w:r>
      <w:r>
        <w:rPr>
          <w:rFonts w:ascii="Times New Roman" w:hAnsi="Times New Roman" w:cs="Times New Roman"/>
          <w:sz w:val="22"/>
        </w:rPr>
        <w:t xml:space="preserve"> </w:t>
      </w:r>
      <w:r>
        <w:rPr>
          <w:rFonts w:ascii="Times New Roman" w:hAnsi="Times New Roman" w:cs="Times New Roman"/>
          <w:sz w:val="22"/>
        </w:rPr>
        <w:t>We retrospectively reviewed medical records, polysomnography (PSG) records, and self-report questionnaires of patients with OSA. Criteria for compliance was the use of CPAP devices for ≥ 4 h per night for ≥ 70% of the consecutive 30 nights (i.e., 21 days) during the first 3 months of treatment initiation. The patients were classified into two groups: compliant and non-compliant. Logistic regression analyses were performed to identify clinical factors and PSG parameters associated with compliance with CPAP.</w:t>
      </w:r>
    </w:p>
    <w:p>
      <w:pPr>
        <w:ind w:firstLine="800"/>
        <w:jc w:val="left"/>
        <w:spacing w:line="480" w:lineRule="auto"/>
        <w:rPr>
          <w:rFonts w:ascii="Times New Roman" w:hAnsi="Times New Roman" w:cs="Times New Roman"/>
          <w:sz w:val="22"/>
        </w:rPr>
      </w:pPr>
      <w:r>
        <w:rPr>
          <w:rFonts w:ascii="Times New Roman" w:hAnsi="Times New Roman" w:cs="Times New Roman"/>
          <w:b/>
          <w:sz w:val="22"/>
        </w:rPr>
        <w:t>Results</w:t>
      </w:r>
      <w:r>
        <w:rPr>
          <w:rFonts w:ascii="Times New Roman" w:hAnsi="Times New Roman" w:cs="Times New Roman" w:hint="eastAsia"/>
          <w:sz w:val="22"/>
        </w:rPr>
        <w:t>:</w:t>
      </w:r>
      <w:r>
        <w:rPr>
          <w:rFonts w:ascii="Times New Roman" w:hAnsi="Times New Roman" w:cs="Times New Roman"/>
          <w:sz w:val="22"/>
        </w:rPr>
        <w:t xml:space="preserve"> </w:t>
      </w:r>
      <w:r>
        <w:rPr>
          <w:rFonts w:ascii="Times New Roman" w:hAnsi="Times New Roman" w:cs="Times New Roman"/>
          <w:sz w:val="22"/>
        </w:rPr>
        <w:t xml:space="preserve">Among 188 participants, 80 were classified into the compliant group and 108 were classified into the non-compliant group. The ratio of </w:t>
      </w:r>
      <w:r>
        <w:rPr>
          <w:rFonts w:ascii="Times New Roman" w:hAnsi="Times New Roman" w:cs="Times New Roman"/>
          <w:sz w:val="22"/>
        </w:rPr>
        <w:t>stage N1 (</w:t>
      </w:r>
      <w:r>
        <w:rPr>
          <w:rFonts w:ascii="Times New Roman" w:eastAsiaTheme="minorHAnsi" w:hAnsi="Times New Roman" w:cs="Times New Roman"/>
          <w:i/>
          <w:sz w:val="22"/>
          <w:kern w:val="0"/>
        </w:rPr>
        <w:t>P</w:t>
      </w:r>
      <w:r>
        <w:rPr>
          <w:rFonts w:ascii="Times New Roman" w:hAnsi="Times New Roman" w:cs="Times New Roman"/>
          <w:sz w:val="22"/>
        </w:rPr>
        <w:t xml:space="preserve"> = 0.011) and health insurance coverage (</w:t>
      </w:r>
      <w:r>
        <w:rPr>
          <w:rFonts w:ascii="Times New Roman" w:eastAsiaTheme="minorHAnsi" w:hAnsi="Times New Roman" w:cs="Times New Roman"/>
          <w:i/>
          <w:sz w:val="22"/>
          <w:kern w:val="0"/>
        </w:rPr>
        <w:t>P</w:t>
      </w:r>
      <w:r>
        <w:rPr>
          <w:rFonts w:ascii="Times New Roman" w:hAnsi="Times New Roman" w:cs="Times New Roman"/>
          <w:sz w:val="22"/>
        </w:rPr>
        <w:t xml:space="preserve"> </w:t>
      </w:r>
      <w:r>
        <w:rPr>
          <w:rFonts w:ascii="Times New Roman" w:hAnsi="Times New Roman" w:cs="Times New Roman"/>
          <w:sz w:val="22"/>
        </w:rPr>
        <w:t xml:space="preserve">= 0.007) were significantly associated with compliance with CPAP, with an explanatory power of 18.6% (R2 = 0.186, </w:t>
      </w:r>
      <w:r>
        <w:rPr>
          <w:rFonts w:ascii="Times New Roman" w:eastAsiaTheme="minorHAnsi" w:hAnsi="Times New Roman" w:cs="Times New Roman"/>
          <w:i/>
          <w:sz w:val="22"/>
          <w:kern w:val="0"/>
        </w:rPr>
        <w:t>P</w:t>
      </w:r>
      <w:r>
        <w:rPr>
          <w:rFonts w:ascii="Times New Roman" w:hAnsi="Times New Roman" w:cs="Times New Roman"/>
          <w:sz w:val="22"/>
        </w:rPr>
        <w:t xml:space="preserve"> &lt; 0.001).</w:t>
      </w:r>
    </w:p>
    <w:p>
      <w:pPr>
        <w:ind w:firstLine="800"/>
        <w:jc w:val="left"/>
        <w:spacing w:line="480" w:lineRule="auto"/>
        <w:rPr>
          <w:rFonts w:ascii="Times New Roman" w:hAnsi="Times New Roman" w:cs="Times New Roman"/>
          <w:sz w:val="22"/>
        </w:rPr>
      </w:pPr>
      <w:r>
        <w:rPr>
          <w:rFonts w:ascii="Times New Roman" w:hAnsi="Times New Roman" w:cs="Times New Roman"/>
          <w:b/>
          <w:sz w:val="22"/>
        </w:rPr>
        <w:t>Conclusion</w:t>
      </w:r>
      <w:r>
        <w:rPr>
          <w:rFonts w:ascii="Times New Roman" w:hAnsi="Times New Roman" w:cs="Times New Roman" w:hint="eastAsia"/>
          <w:sz w:val="22"/>
        </w:rPr>
        <w:t xml:space="preserve">: </w:t>
      </w:r>
      <w:r>
        <w:rPr>
          <w:rFonts w:ascii="Times New Roman" w:hAnsi="Times New Roman" w:cs="Times New Roman"/>
          <w:sz w:val="22"/>
        </w:rPr>
        <w:t>This study indicated that the stage N1 ratio and health insurance coverage were significant predictors of CPAP compliance. It is necessary to confirm whether the relationship between a high stage N1 ratio and compliance is reproduced in a larger sample and in individuals from other countries.</w:t>
      </w:r>
    </w:p>
    <w:p>
      <w:pPr>
        <w:ind w:firstLine="800"/>
        <w:jc w:val="left"/>
        <w:spacing w:line="480" w:lineRule="auto"/>
        <w:rPr>
          <w:rFonts w:ascii="Times New Roman" w:hAnsi="Times New Roman" w:cs="Times New Roman"/>
          <w:sz w:val="22"/>
        </w:rPr>
      </w:pPr>
    </w:p>
    <w:p>
      <w:pPr>
        <w:jc w:val="left"/>
        <w:spacing w:line="480" w:lineRule="auto"/>
        <w:rPr>
          <w:rFonts w:ascii="Times New Roman" w:hAnsi="Times New Roman" w:cs="Times New Roman"/>
          <w:sz w:val="22"/>
        </w:rPr>
      </w:pPr>
      <w:r>
        <w:rPr>
          <w:rFonts w:ascii="Times New Roman" w:hAnsi="Times New Roman" w:cs="Times New Roman"/>
          <w:b/>
          <w:sz w:val="22"/>
        </w:rPr>
        <w:t>Keywords:</w:t>
      </w:r>
      <w:r>
        <w:rPr>
          <w:rFonts w:ascii="Times New Roman" w:hAnsi="Times New Roman" w:cs="Times New Roman"/>
          <w:sz w:val="22"/>
        </w:rPr>
        <w:t xml:space="preserve"> </w:t>
      </w:r>
      <w:r>
        <w:rPr>
          <w:rFonts w:ascii="Times New Roman" w:hAnsi="Times New Roman" w:cs="Times New Roman"/>
          <w:sz w:val="22"/>
        </w:rPr>
        <w:t>C</w:t>
      </w:r>
      <w:r>
        <w:rPr>
          <w:rFonts w:ascii="Times New Roman" w:hAnsi="Times New Roman" w:cs="Times New Roman"/>
          <w:sz w:val="22"/>
        </w:rPr>
        <w:t>ompliance</w:t>
      </w:r>
      <w:r>
        <w:rPr>
          <w:rFonts w:ascii="Times New Roman" w:hAnsi="Times New Roman" w:cs="Times New Roman"/>
          <w:sz w:val="22"/>
        </w:rPr>
        <w:t>; C</w:t>
      </w:r>
      <w:r>
        <w:rPr>
          <w:rFonts w:ascii="Times New Roman" w:hAnsi="Times New Roman" w:cs="Times New Roman"/>
          <w:sz w:val="22"/>
        </w:rPr>
        <w:t>ontinuous positive airway pressure</w:t>
      </w:r>
      <w:r>
        <w:rPr>
          <w:rFonts w:ascii="Times New Roman" w:hAnsi="Times New Roman" w:cs="Times New Roman"/>
          <w:sz w:val="22"/>
        </w:rPr>
        <w:t>;</w:t>
      </w:r>
      <w:r>
        <w:rPr>
          <w:rFonts w:ascii="Times New Roman" w:hAnsi="Times New Roman" w:cs="Times New Roman"/>
          <w:sz w:val="22"/>
        </w:rPr>
        <w:t xml:space="preserve"> </w:t>
      </w:r>
      <w:r>
        <w:rPr>
          <w:rFonts w:ascii="Times New Roman" w:hAnsi="Times New Roman" w:cs="Times New Roman"/>
          <w:sz w:val="22"/>
        </w:rPr>
        <w:t>O</w:t>
      </w:r>
      <w:r>
        <w:rPr>
          <w:rFonts w:ascii="Times New Roman" w:hAnsi="Times New Roman" w:cs="Times New Roman"/>
          <w:sz w:val="22"/>
        </w:rPr>
        <w:t>bstructive sleep apnea</w:t>
      </w:r>
      <w:r>
        <w:rPr>
          <w:rFonts w:ascii="Times New Roman" w:hAnsi="Times New Roman" w:cs="Times New Roman"/>
          <w:sz w:val="22"/>
        </w:rPr>
        <w:t>; P</w:t>
      </w:r>
      <w:r>
        <w:rPr>
          <w:rFonts w:ascii="Times New Roman" w:hAnsi="Times New Roman" w:cs="Times New Roman"/>
          <w:sz w:val="22"/>
        </w:rPr>
        <w:t>olysomnography</w:t>
      </w:r>
      <w:r>
        <w:rPr>
          <w:rFonts w:ascii="Times New Roman" w:hAnsi="Times New Roman" w:cs="Times New Roman"/>
          <w:sz w:val="22"/>
        </w:rPr>
        <w:t>; P</w:t>
      </w:r>
      <w:r>
        <w:rPr>
          <w:rFonts w:ascii="Times New Roman" w:hAnsi="Times New Roman" w:cs="Times New Roman"/>
          <w:sz w:val="22"/>
        </w:rPr>
        <w:t>redictor</w:t>
      </w:r>
    </w:p>
    <w:p>
      <w:pPr>
        <w:autoSpaceDE/>
        <w:autoSpaceDN/>
        <w:widowControl/>
        <w:wordWrap/>
        <w:jc w:val="left"/>
        <w:rPr>
          <w:rFonts w:ascii="Times New Roman" w:eastAsiaTheme="minorHAnsi" w:hAnsi="Times New Roman" w:cs="Times New Roman"/>
          <w:b/>
          <w:sz w:val="22"/>
        </w:rPr>
        <w:sectPr>
          <w:pgSz w:w="11906" w:h="16838"/>
          <w:pgMar w:top="1701" w:right="1440" w:bottom="1440" w:left="1440" w:header="851" w:footer="992" w:gutter="0"/>
          <w:cols/>
          <w:docGrid w:linePitch="360"/>
        </w:sectPr>
      </w:pPr>
    </w:p>
    <w:p>
      <w:pPr>
        <w:autoSpaceDE/>
        <w:autoSpaceDN/>
        <w:widowControl/>
        <w:wordWrap/>
        <w:jc w:val="left"/>
        <w:rPr>
          <w:rFonts w:ascii="Times New Roman" w:eastAsiaTheme="minorHAnsi" w:hAnsi="Times New Roman" w:cs="Times New Roman"/>
          <w:b/>
          <w:sz w:val="22"/>
        </w:rPr>
      </w:pPr>
      <w:r>
        <w:rPr>
          <w:rFonts w:ascii="Times New Roman" w:eastAsiaTheme="minorHAnsi" w:hAnsi="Times New Roman" w:cs="Times New Roman"/>
          <w:b/>
          <w:sz w:val="22"/>
        </w:rPr>
        <w:t>INTRODUCTION</w:t>
      </w:r>
    </w:p>
    <w:p>
      <w:pPr>
        <w:jc w:val="left"/>
        <w:spacing w:line="480" w:lineRule="auto"/>
        <w:rPr>
          <w:rFonts w:ascii="Times New Roman" w:eastAsiaTheme="minorHAnsi" w:hAnsi="Times New Roman" w:cs="Times New Roman"/>
          <w:sz w:val="22"/>
        </w:rPr>
      </w:pPr>
    </w:p>
    <w:p>
      <w:pPr>
        <w:ind w:firstLine="426"/>
        <w:jc w:val="left"/>
        <w:spacing w:line="480" w:lineRule="auto"/>
        <w:rPr>
          <w:rFonts w:ascii="Times New Roman" w:eastAsiaTheme="minorHAnsi" w:hAnsi="Times New Roman" w:cs="Times New Roman"/>
          <w:sz w:val="22"/>
        </w:rPr>
      </w:pPr>
      <w:r>
        <w:rPr>
          <w:rFonts w:ascii="Times New Roman" w:eastAsiaTheme="minorHAnsi" w:hAnsi="Times New Roman" w:cs="Times New Roman"/>
          <w:sz w:val="22"/>
        </w:rPr>
        <w:t>Obstructive sleep apnea (OSA) is a common sleep disorder characterized by repeated episodes of obstruction of the upper airway.</w:t>
      </w:r>
      <w:r>
        <w:fldChar w:fldCharType="begin"/>
      </w:r>
      <w:r>
        <w:instrText xml:space="preserve"> HYPERLINK \l "_ENREF_1"\o "Greenberg, 2017 #1"</w:instrText>
      </w:r>
      <w:r>
        <w:fldChar w:fldCharType="separate"/>
      </w:r>
      <w:r>
        <w:rPr>
          <w:rFonts w:ascii="Times New Roman" w:eastAsiaTheme="minorHAnsi" w:hAnsi="Times New Roman" w:cs="Times New Roman"/>
          <w:sz w:val="22"/>
        </w:rPr>
        <w:fldChar w:fldCharType="begin"/>
      </w:r>
      <w:r>
        <w:rPr>
          <w:rFonts w:ascii="Times New Roman" w:eastAsiaTheme="minorHAnsi" w:hAnsi="Times New Roman" w:cs="Times New Roman"/>
          <w:sz w:val="22"/>
        </w:rPr>
        <w:instrText xml:space="preserve"> ADDIN EN.CITE &lt;EndNote&gt;&lt;Cite&gt;&lt;Author&gt;Greenberg&lt;/Author&gt;&lt;Year&gt;2017&lt;/Year&gt;&lt;RecNum&gt;1&lt;/RecNum&gt;&lt;DisplayText&gt;&lt;style face="superscript" font="Courier New"&gt;1&lt;/style&gt;&lt;/DisplayText&gt;&lt;record&gt;&lt;rec-number&gt;1&lt;/rec-number&gt;&lt;foreign-keys&gt;&lt;key app="EN" db-id="eswvavzsosvad8efwtn5d0vq5zxtxrxe59xd" timestamp="1673893037"&gt;1&lt;/key&gt;&lt;/foreign-keys&gt;&lt;ref-type name="Book Section"&gt;5&lt;/ref-type&gt;&lt;contributors&gt;&lt;authors&gt;&lt;author&gt;Greenberg, H&lt;/author&gt;&lt;author&gt;Lakticova, V&lt;/author&gt;&lt;author&gt;Scharf, S.M&lt;/author&gt;&lt;/authors&gt;&lt;secondary-authors&gt;&lt;author&gt;Kryger, Meir H&lt;/author&gt;&lt;author&gt;Roth, Thomas&lt;/author&gt;&lt;author&gt;Dement, W.C&lt;/author&gt;&lt;/secondary-authors&gt;&lt;/contributors&gt;&lt;titles&gt;&lt;title&gt;Obstructive sleep apnea: clinical features, evaluation, and principles of management&lt;/title&gt;&lt;secondary-title&gt;Principles and Practice of Sleep Medicine&lt;/secondary-title&gt;&lt;/titles&gt;&lt;edition&gt;6th&lt;/edition&gt;&lt;dates&gt;&lt;year&gt;2017&lt;/year&gt;&lt;/dates&gt;&lt;publisher&gt;Elsevier&lt;/publisher&gt;&lt;isbn&gt;0323675050&lt;/isbn&gt;&lt;urls&gt;&lt;/urls&gt;&lt;/record&gt;&lt;/Cite&gt;&lt;/EndNote&gt;</w:instrText>
      </w:r>
      <w:r>
        <w:rPr>
          <w:rFonts w:ascii="Times New Roman" w:eastAsiaTheme="minorHAnsi" w:hAnsi="Times New Roman" w:cs="Times New Roman"/>
          <w:sz w:val="22"/>
        </w:rPr>
        <w:fldChar w:fldCharType="separate"/>
      </w:r>
      <w:r>
        <w:rPr>
          <w:rFonts w:ascii="Courier New" w:eastAsiaTheme="minorHAnsi" w:hAnsi="Courier New" w:cs="Courier New"/>
          <w:noProof/>
          <w:sz w:val="22"/>
          <w:vertAlign w:val="superscript"/>
        </w:rPr>
        <w:t>1</w:t>
      </w:r>
      <w:r>
        <w:rPr>
          <w:rFonts w:ascii="Times New Roman" w:eastAsiaTheme="minorHAnsi" w:hAnsi="Times New Roman" w:cs="Times New Roman"/>
          <w:sz w:val="22"/>
        </w:rPr>
        <w:fldChar w:fldCharType="end"/>
      </w:r>
      <w:r>
        <w:fldChar w:fldCharType="end"/>
      </w:r>
      <w:r>
        <w:rPr>
          <w:rFonts w:ascii="Times New Roman" w:eastAsiaTheme="minorHAnsi" w:hAnsi="Times New Roman" w:cs="Times New Roman"/>
          <w:sz w:val="22"/>
        </w:rPr>
        <w:t xml:space="preserve"> It can cause sleep disturbance, daytime sleepiness, and an increased risk of cardiovascular problems such as hypertension, ischemic heart disease, and cerebrovascular disease.</w:t>
      </w:r>
      <w:r>
        <w:rPr>
          <w:rFonts w:ascii="Times New Roman" w:eastAsiaTheme="minorHAnsi" w:hAnsi="Times New Roman" w:cs="Times New Roman"/>
          <w:sz w:val="22"/>
        </w:rPr>
        <w:fldChar w:fldCharType="begin"/>
      </w:r>
      <w:r>
        <w:rPr>
          <w:rFonts w:ascii="Times New Roman" w:eastAsiaTheme="minorHAnsi" w:hAnsi="Times New Roman" w:cs="Times New Roman"/>
          <w:sz w:val="22"/>
        </w:rPr>
        <w:instrText xml:space="preserve"> ADDIN EN.CITE </w:instrText>
      </w:r>
      <w:r>
        <w:rPr>
          <w:rFonts w:ascii="Times New Roman" w:eastAsiaTheme="minorHAnsi" w:hAnsi="Times New Roman" w:cs="Times New Roman"/>
          <w:sz w:val="22"/>
        </w:rPr>
        <w:fldChar w:fldCharType="begin"/>
      </w:r>
      <w:r>
        <w:rPr>
          <w:rFonts w:ascii="Times New Roman" w:eastAsiaTheme="minorHAnsi" w:hAnsi="Times New Roman" w:cs="Times New Roman"/>
          <w:sz w:val="22"/>
        </w:rPr>
        <w:instrText xml:space="preserve"> ADDIN EN.CITE.DATA </w:instrText>
      </w:r>
      <w:r>
        <w:rPr>
          <w:rFonts w:ascii="Times New Roman" w:eastAsiaTheme="minorHAnsi" w:hAnsi="Times New Roman" w:cs="Times New Roman"/>
          <w:sz w:val="22"/>
        </w:rPr>
        <w:fldChar w:fldCharType="end"/>
      </w:r>
      <w:r>
        <w:rPr>
          <w:rFonts w:ascii="Times New Roman" w:eastAsiaTheme="minorHAnsi" w:hAnsi="Times New Roman" w:cs="Times New Roman"/>
          <w:sz w:val="22"/>
        </w:rPr>
        <w:fldChar w:fldCharType="separate"/>
      </w:r>
      <w:r>
        <w:fldChar w:fldCharType="begin"/>
      </w:r>
      <w:r>
        <w:instrText xml:space="preserve"> HYPERLINK \l "_ENREF_1"\o "Greenberg, 2017 #1"</w:instrText>
      </w:r>
      <w:r>
        <w:fldChar w:fldCharType="separate"/>
      </w:r>
      <w:r>
        <w:rPr>
          <w:rFonts w:ascii="Courier New" w:eastAsiaTheme="minorHAnsi" w:hAnsi="Courier New" w:cs="Courier New"/>
          <w:noProof/>
          <w:sz w:val="22"/>
          <w:vertAlign w:val="superscript"/>
        </w:rPr>
        <w:t>1</w:t>
      </w:r>
      <w:r>
        <w:fldChar w:fldCharType="end"/>
      </w:r>
      <w:r>
        <w:rPr>
          <w:rFonts w:ascii="Courier New" w:eastAsiaTheme="minorHAnsi" w:hAnsi="Courier New" w:cs="Courier New"/>
          <w:noProof/>
          <w:sz w:val="22"/>
          <w:vertAlign w:val="superscript"/>
        </w:rPr>
        <w:t>,</w:t>
      </w:r>
      <w:r>
        <w:fldChar w:fldCharType="begin"/>
      </w:r>
      <w:r>
        <w:instrText xml:space="preserve"> HYPERLINK \l "_ENREF_2"\o "Anders, 1980 #2"</w:instrText>
      </w:r>
      <w:r>
        <w:fldChar w:fldCharType="separate"/>
      </w:r>
      <w:r>
        <w:rPr>
          <w:rFonts w:ascii="Courier New" w:eastAsiaTheme="minorHAnsi" w:hAnsi="Courier New" w:cs="Courier New"/>
          <w:noProof/>
          <w:sz w:val="22"/>
          <w:vertAlign w:val="superscript"/>
        </w:rPr>
        <w:t>2</w:t>
      </w:r>
      <w:r>
        <w:fldChar w:fldCharType="end"/>
      </w:r>
      <w:r>
        <w:rPr>
          <w:rFonts w:ascii="Times New Roman" w:eastAsiaTheme="minorHAnsi" w:hAnsi="Times New Roman" w:cs="Times New Roman"/>
          <w:sz w:val="22"/>
        </w:rPr>
        <w:fldChar w:fldCharType="end"/>
      </w:r>
      <w:r>
        <w:rPr>
          <w:rFonts w:ascii="Times New Roman" w:eastAsiaTheme="minorHAnsi" w:hAnsi="Times New Roman" w:cs="Times New Roman"/>
          <w:sz w:val="22"/>
        </w:rPr>
        <w:t xml:space="preserve"> Treatments for OSA include continuous positive airway pressure (CPAP), oral appliances, and </w:t>
      </w:r>
      <w:r>
        <w:rPr>
          <w:rFonts w:ascii="Times New Roman" w:eastAsiaTheme="minorHAnsi" w:hAnsi="Times New Roman" w:cs="Times New Roman"/>
          <w:sz w:val="22"/>
        </w:rPr>
        <w:t>uvulopalatopharyngoplasty</w:t>
      </w:r>
      <w:r>
        <w:rPr>
          <w:rFonts w:ascii="Times New Roman" w:eastAsiaTheme="minorHAnsi" w:hAnsi="Times New Roman" w:cs="Times New Roman"/>
          <w:sz w:val="22"/>
        </w:rPr>
        <w:t>, with CPAP being the treatment of choice.</w:t>
      </w:r>
      <w:r>
        <w:rPr>
          <w:rFonts w:ascii="Times New Roman" w:eastAsiaTheme="minorHAnsi" w:hAnsi="Times New Roman" w:cs="Times New Roman"/>
          <w:sz w:val="22"/>
        </w:rPr>
        <w:fldChar w:fldCharType="begin"/>
      </w:r>
      <w:r>
        <w:rPr>
          <w:rFonts w:ascii="Times New Roman" w:eastAsiaTheme="minorHAnsi" w:hAnsi="Times New Roman" w:cs="Times New Roman"/>
          <w:sz w:val="22"/>
        </w:rPr>
        <w:instrText xml:space="preserve"> ADDIN EN.CITE </w:instrText>
      </w:r>
      <w:r>
        <w:rPr>
          <w:rFonts w:ascii="Times New Roman" w:eastAsiaTheme="minorHAnsi" w:hAnsi="Times New Roman" w:cs="Times New Roman"/>
          <w:sz w:val="22"/>
        </w:rPr>
        <w:fldChar w:fldCharType="begin"/>
      </w:r>
      <w:r>
        <w:rPr>
          <w:rFonts w:ascii="Times New Roman" w:eastAsiaTheme="minorHAnsi" w:hAnsi="Times New Roman" w:cs="Times New Roman"/>
          <w:sz w:val="22"/>
        </w:rPr>
        <w:instrText xml:space="preserve"> ADDIN EN.CITE.DATA </w:instrText>
      </w:r>
      <w:r>
        <w:rPr>
          <w:rFonts w:ascii="Times New Roman" w:eastAsiaTheme="minorHAnsi" w:hAnsi="Times New Roman" w:cs="Times New Roman"/>
          <w:sz w:val="22"/>
        </w:rPr>
        <w:fldChar w:fldCharType="end"/>
      </w:r>
      <w:r>
        <w:rPr>
          <w:rFonts w:ascii="Times New Roman" w:eastAsiaTheme="minorHAnsi" w:hAnsi="Times New Roman" w:cs="Times New Roman"/>
          <w:sz w:val="22"/>
        </w:rPr>
        <w:fldChar w:fldCharType="separate"/>
      </w:r>
      <w:r>
        <w:fldChar w:fldCharType="begin"/>
      </w:r>
      <w:r>
        <w:instrText xml:space="preserve"> HYPERLINK \l "_ENREF_1"\o "Greenberg, 2017 #1"</w:instrText>
      </w:r>
      <w:r>
        <w:fldChar w:fldCharType="separate"/>
      </w:r>
      <w:r>
        <w:rPr>
          <w:rFonts w:ascii="Courier New" w:eastAsiaTheme="minorHAnsi" w:hAnsi="Courier New" w:cs="Courier New"/>
          <w:noProof/>
          <w:sz w:val="22"/>
          <w:vertAlign w:val="superscript"/>
        </w:rPr>
        <w:t>1</w:t>
      </w:r>
      <w:r>
        <w:fldChar w:fldCharType="end"/>
      </w:r>
      <w:r>
        <w:rPr>
          <w:rFonts w:ascii="Courier New" w:eastAsiaTheme="minorHAnsi" w:hAnsi="Courier New" w:cs="Courier New"/>
          <w:noProof/>
          <w:sz w:val="22"/>
          <w:vertAlign w:val="superscript"/>
        </w:rPr>
        <w:t>,</w:t>
      </w:r>
      <w:r>
        <w:fldChar w:fldCharType="begin"/>
      </w:r>
      <w:r>
        <w:instrText xml:space="preserve"> HYPERLINK \l "_ENREF_3"\o "Freedman, 2017 #3"</w:instrText>
      </w:r>
      <w:r>
        <w:fldChar w:fldCharType="separate"/>
      </w:r>
      <w:r>
        <w:rPr>
          <w:rFonts w:ascii="Courier New" w:eastAsiaTheme="minorHAnsi" w:hAnsi="Courier New" w:cs="Courier New"/>
          <w:noProof/>
          <w:sz w:val="22"/>
          <w:vertAlign w:val="superscript"/>
        </w:rPr>
        <w:t>3</w:t>
      </w:r>
      <w:r>
        <w:fldChar w:fldCharType="end"/>
      </w:r>
      <w:r>
        <w:rPr>
          <w:rFonts w:ascii="Courier New" w:eastAsiaTheme="minorHAnsi" w:hAnsi="Courier New" w:cs="Courier New"/>
          <w:noProof/>
          <w:sz w:val="22"/>
          <w:vertAlign w:val="superscript"/>
        </w:rPr>
        <w:t>,</w:t>
      </w:r>
      <w:r>
        <w:fldChar w:fldCharType="begin"/>
      </w:r>
      <w:r>
        <w:instrText xml:space="preserve"> HYPERLINK \l "_ENREF_4"\o "Holty, 2010 #4"</w:instrText>
      </w:r>
      <w:r>
        <w:fldChar w:fldCharType="separate"/>
      </w:r>
      <w:r>
        <w:rPr>
          <w:rFonts w:ascii="Courier New" w:eastAsiaTheme="minorHAnsi" w:hAnsi="Courier New" w:cs="Courier New"/>
          <w:noProof/>
          <w:sz w:val="22"/>
          <w:vertAlign w:val="superscript"/>
        </w:rPr>
        <w:t>4</w:t>
      </w:r>
      <w:r>
        <w:fldChar w:fldCharType="end"/>
      </w:r>
      <w:r>
        <w:rPr>
          <w:rFonts w:ascii="Times New Roman" w:eastAsiaTheme="minorHAnsi" w:hAnsi="Times New Roman" w:cs="Times New Roman"/>
          <w:sz w:val="22"/>
        </w:rPr>
        <w:fldChar w:fldCharType="end"/>
      </w:r>
      <w:r>
        <w:rPr>
          <w:rFonts w:ascii="Times New Roman" w:eastAsiaTheme="minorHAnsi" w:hAnsi="Times New Roman" w:cs="Times New Roman"/>
          <w:sz w:val="22"/>
        </w:rPr>
        <w:t xml:space="preserve"> CPAP is a pneumatic splint that maintains the patency of the upper airway in a dose-dependent manner.</w:t>
      </w:r>
      <w:r>
        <w:fldChar w:fldCharType="begin"/>
      </w:r>
      <w:r>
        <w:instrText xml:space="preserve"> HYPERLINK \l "_ENREF_3"\o "Freedman, 2017 #3"</w:instrText>
      </w:r>
      <w:r>
        <w:fldChar w:fldCharType="separate"/>
      </w:r>
      <w:r>
        <w:rPr>
          <w:rFonts w:ascii="Times New Roman" w:eastAsiaTheme="minorHAnsi" w:hAnsi="Times New Roman" w:cs="Times New Roman"/>
          <w:sz w:val="22"/>
        </w:rPr>
        <w:fldChar w:fldCharType="begin"/>
      </w:r>
      <w:r>
        <w:rPr>
          <w:rFonts w:ascii="Times New Roman" w:eastAsiaTheme="minorHAnsi" w:hAnsi="Times New Roman" w:cs="Times New Roman"/>
          <w:sz w:val="22"/>
        </w:rPr>
        <w:instrText xml:space="preserve"> ADDIN EN.CITE &lt;EndNote&gt;&lt;Cite&gt;&lt;Author&gt;Freedman&lt;/Author&gt;&lt;Year&gt;2017&lt;/Year&gt;&lt;RecNum&gt;3&lt;/RecNum&gt;&lt;DisplayText&gt;&lt;style face="superscript" font="Courier New"&gt;3&lt;/style&gt;&lt;/DisplayText&gt;&lt;record&gt;&lt;rec-number&gt;3&lt;/rec-number&gt;&lt;foreign-keys&gt;&lt;key app="EN" db-id="eswvavzsosvad8efwtn5d0vq5zxtxrxe59xd" timestamp="1673893037"&gt;3&lt;/key&gt;&lt;/foreign-keys&gt;&lt;ref-type name="Book Section"&gt;5&lt;/ref-type&gt;&lt;contributors&gt;&lt;authors&gt;&lt;author&gt;Freedman, N&lt;/author&gt;&lt;/authors&gt;&lt;secondary-authors&gt;&lt;author&gt;Kryger, Meir H&lt;/author&gt;&lt;author&gt;Roth, Thomas&lt;/author&gt;&lt;author&gt;Dement, W.C&lt;/author&gt;&lt;/secondary-authors&gt;&lt;/contributors&gt;&lt;titles&gt;&lt;title&gt;Positive airway pressure treatment for obstructive sleep apnea&lt;/title&gt;&lt;secondary-title&gt;Principles and Practice of Sleep Medicine&lt;/secondary-title&gt;&lt;/titles&gt;&lt;edition&gt;6th&lt;/edition&gt;&lt;dates&gt;&lt;year&gt;2017&lt;/year&gt;&lt;/dates&gt;&lt;publisher&gt;Elsevier&lt;/publisher&gt;&lt;isbn&gt;0323675050&lt;/isbn&gt;&lt;urls&gt;&lt;/urls&gt;&lt;/record&gt;&lt;/Cite&gt;&lt;/EndNote&gt;</w:instrText>
      </w:r>
      <w:r>
        <w:rPr>
          <w:rFonts w:ascii="Times New Roman" w:eastAsiaTheme="minorHAnsi" w:hAnsi="Times New Roman" w:cs="Times New Roman"/>
          <w:sz w:val="22"/>
        </w:rPr>
        <w:fldChar w:fldCharType="separate"/>
      </w:r>
      <w:r>
        <w:rPr>
          <w:rFonts w:ascii="Courier New" w:eastAsiaTheme="minorHAnsi" w:hAnsi="Courier New" w:cs="Courier New"/>
          <w:noProof/>
          <w:sz w:val="22"/>
          <w:vertAlign w:val="superscript"/>
        </w:rPr>
        <w:t>3</w:t>
      </w:r>
      <w:r>
        <w:rPr>
          <w:rFonts w:ascii="Times New Roman" w:eastAsiaTheme="minorHAnsi" w:hAnsi="Times New Roman" w:cs="Times New Roman"/>
          <w:sz w:val="22"/>
        </w:rPr>
        <w:fldChar w:fldCharType="end"/>
      </w:r>
      <w:r>
        <w:fldChar w:fldCharType="end"/>
      </w:r>
      <w:r>
        <w:rPr>
          <w:rFonts w:ascii="Times New Roman" w:eastAsiaTheme="minorHAnsi" w:hAnsi="Times New Roman" w:cs="Times New Roman"/>
          <w:sz w:val="22"/>
        </w:rPr>
        <w:t xml:space="preserve"> Previous studies have reported that CPAP can reduce daytime sleepiness, alleviate cardiovascular complications, and improve cognitive function.</w:t>
      </w:r>
      <w:r>
        <w:rPr>
          <w:rFonts w:ascii="Times New Roman" w:eastAsiaTheme="minorHAnsi" w:hAnsi="Times New Roman" w:cs="Times New Roman"/>
          <w:sz w:val="22"/>
        </w:rPr>
        <w:fldChar w:fldCharType="begin"/>
      </w:r>
      <w:r>
        <w:rPr>
          <w:rFonts w:ascii="Times New Roman" w:eastAsiaTheme="minorHAnsi" w:hAnsi="Times New Roman" w:cs="Times New Roman"/>
          <w:sz w:val="22"/>
        </w:rPr>
        <w:instrText xml:space="preserve"> ADDIN EN.CITE </w:instrText>
      </w:r>
      <w:r>
        <w:rPr>
          <w:rFonts w:ascii="Times New Roman" w:eastAsiaTheme="minorHAnsi" w:hAnsi="Times New Roman" w:cs="Times New Roman"/>
          <w:sz w:val="22"/>
        </w:rPr>
        <w:fldChar w:fldCharType="begin"/>
      </w:r>
      <w:r>
        <w:rPr>
          <w:rFonts w:ascii="Times New Roman" w:eastAsiaTheme="minorHAnsi" w:hAnsi="Times New Roman" w:cs="Times New Roman"/>
          <w:sz w:val="22"/>
        </w:rPr>
        <w:instrText xml:space="preserve"> ADDIN EN.CITE.DATA </w:instrText>
      </w:r>
      <w:r>
        <w:rPr>
          <w:rFonts w:ascii="Times New Roman" w:eastAsiaTheme="minorHAnsi" w:hAnsi="Times New Roman" w:cs="Times New Roman"/>
          <w:sz w:val="22"/>
        </w:rPr>
        <w:fldChar w:fldCharType="end"/>
      </w:r>
      <w:r>
        <w:rPr>
          <w:rFonts w:ascii="Times New Roman" w:eastAsiaTheme="minorHAnsi" w:hAnsi="Times New Roman" w:cs="Times New Roman"/>
          <w:sz w:val="22"/>
        </w:rPr>
        <w:fldChar w:fldCharType="separate"/>
      </w:r>
      <w:r>
        <w:fldChar w:fldCharType="begin"/>
      </w:r>
      <w:r>
        <w:instrText xml:space="preserve"> HYPERLINK \l "_ENREF_3"\o "Freedman, 2017 #3"</w:instrText>
      </w:r>
      <w:r>
        <w:fldChar w:fldCharType="separate"/>
      </w:r>
      <w:r>
        <w:rPr>
          <w:rFonts w:ascii="Courier New" w:eastAsiaTheme="minorHAnsi" w:hAnsi="Courier New" w:cs="Courier New"/>
          <w:noProof/>
          <w:sz w:val="22"/>
          <w:vertAlign w:val="superscript"/>
        </w:rPr>
        <w:t>3</w:t>
      </w:r>
      <w:r>
        <w:fldChar w:fldCharType="end"/>
      </w:r>
      <w:r>
        <w:rPr>
          <w:rFonts w:ascii="Courier New" w:eastAsiaTheme="minorHAnsi" w:hAnsi="Courier New" w:cs="Courier New"/>
          <w:noProof/>
          <w:sz w:val="22"/>
          <w:vertAlign w:val="superscript"/>
        </w:rPr>
        <w:t>,</w:t>
      </w:r>
      <w:r>
        <w:fldChar w:fldCharType="begin"/>
      </w:r>
      <w:r>
        <w:instrText xml:space="preserve"> HYPERLINK \l "_ENREF_5"\o "Campos-Rodriguez, 2007 #5"</w:instrText>
      </w:r>
      <w:r>
        <w:fldChar w:fldCharType="separate"/>
      </w:r>
      <w:r>
        <w:rPr>
          <w:rFonts w:ascii="Courier New" w:eastAsiaTheme="minorHAnsi" w:hAnsi="Courier New" w:cs="Courier New"/>
          <w:noProof/>
          <w:sz w:val="22"/>
          <w:vertAlign w:val="superscript"/>
        </w:rPr>
        <w:t>5</w:t>
      </w:r>
      <w:r>
        <w:fldChar w:fldCharType="end"/>
      </w:r>
      <w:r>
        <w:rPr>
          <w:rFonts w:ascii="Courier New" w:eastAsiaTheme="minorHAnsi" w:hAnsi="Courier New" w:cs="Courier New"/>
          <w:noProof/>
          <w:sz w:val="22"/>
          <w:vertAlign w:val="superscript"/>
        </w:rPr>
        <w:t>,</w:t>
      </w:r>
      <w:r>
        <w:fldChar w:fldCharType="begin"/>
      </w:r>
      <w:r>
        <w:instrText xml:space="preserve"> HYPERLINK \l "_ENREF_6"\o "Marin, 2005 #6"</w:instrText>
      </w:r>
      <w:r>
        <w:fldChar w:fldCharType="separate"/>
      </w:r>
      <w:r>
        <w:rPr>
          <w:rFonts w:ascii="Courier New" w:eastAsiaTheme="minorHAnsi" w:hAnsi="Courier New" w:cs="Courier New"/>
          <w:noProof/>
          <w:sz w:val="22"/>
          <w:vertAlign w:val="superscript"/>
        </w:rPr>
        <w:t>6</w:t>
      </w:r>
      <w:r>
        <w:fldChar w:fldCharType="end"/>
      </w:r>
      <w:r>
        <w:rPr>
          <w:rFonts w:ascii="Times New Roman" w:eastAsiaTheme="minorHAnsi" w:hAnsi="Times New Roman" w:cs="Times New Roman"/>
          <w:sz w:val="22"/>
        </w:rPr>
        <w:fldChar w:fldCharType="end"/>
      </w:r>
    </w:p>
    <w:p>
      <w:pPr>
        <w:ind w:firstLine="426"/>
        <w:jc w:val="left"/>
        <w:spacing w:line="480" w:lineRule="auto"/>
        <w:rPr>
          <w:rFonts w:ascii="Times New Roman" w:eastAsiaTheme="minorHAnsi" w:hAnsi="Times New Roman" w:cs="Times New Roman"/>
          <w:sz w:val="22"/>
        </w:rPr>
      </w:pPr>
      <w:r>
        <w:rPr>
          <w:rFonts w:ascii="Times New Roman" w:eastAsiaTheme="minorHAnsi" w:hAnsi="Times New Roman" w:cs="Times New Roman"/>
          <w:sz w:val="22"/>
        </w:rPr>
        <w:t xml:space="preserve">Although the therapeutic effect of CPAP has been demonstrated, a period of adaptation to CPAP is required because patients with OSA </w:t>
      </w:r>
      <w:r>
        <w:rPr>
          <w:rFonts w:ascii="Times New Roman" w:eastAsiaTheme="minorHAnsi" w:hAnsi="Times New Roman" w:cs="Times New Roman"/>
          <w:sz w:val="22"/>
        </w:rPr>
        <w:t>have to</w:t>
      </w:r>
      <w:r>
        <w:rPr>
          <w:rFonts w:ascii="Times New Roman" w:eastAsiaTheme="minorHAnsi" w:hAnsi="Times New Roman" w:cs="Times New Roman"/>
          <w:sz w:val="22"/>
        </w:rPr>
        <w:t xml:space="preserve"> sleep with a mask on their nose every day, and some patients fail to adapt. With compliance being defined in previous studies as 70% or more of the days of using the CPAP device for 4 hours or more, subjective compliance was 65–90%,</w:t>
      </w:r>
      <w:r>
        <w:fldChar w:fldCharType="begin"/>
      </w:r>
      <w:r>
        <w:instrText xml:space="preserve"> HYPERLINK \l "_ENREF_7"\o "Parthasarathy, 2014 #7"</w:instrText>
      </w:r>
      <w:r>
        <w:fldChar w:fldCharType="separate"/>
      </w:r>
      <w:r>
        <w:rPr>
          <w:rFonts w:ascii="Times New Roman" w:eastAsiaTheme="minorHAnsi" w:hAnsi="Times New Roman" w:cs="Times New Roman"/>
          <w:sz w:val="22"/>
        </w:rPr>
        <w:fldChar w:fldCharType="begin"/>
      </w:r>
      <w:r>
        <w:rPr>
          <w:rFonts w:ascii="Times New Roman" w:eastAsiaTheme="minorHAnsi" w:hAnsi="Times New Roman" w:cs="Times New Roman"/>
          <w:sz w:val="22"/>
        </w:rPr>
        <w:instrText xml:space="preserve"> ADDIN EN.CITE &lt;EndNote&gt;&lt;Cite&gt;&lt;Author&gt;Parthasarathy&lt;/Author&gt;&lt;Year&gt;2014&lt;/Year&gt;&lt;RecNum&gt;7&lt;/RecNum&gt;&lt;DisplayText&gt;&lt;style face="superscript" font="Courier New"&gt;7&lt;/style&gt;&lt;/DisplayText&gt;&lt;record&gt;&lt;rec-number&gt;7&lt;/rec-number&gt;&lt;foreign-keys&gt;&lt;key app="EN" db-id="eswvavzsosvad8efwtn5d0vq5zxtxrxe59xd" timestamp="1673893037"&gt;7&lt;/key&gt;&lt;/foreign-keys&gt;&lt;ref-type name="Journal Article"&gt;17&lt;/ref-type&gt;&lt;contributors&gt;&lt;authors&gt;&lt;author&gt;Parthasarathy, Sairam&lt;/author&gt;&lt;author&gt;Subramanian, Shyam&lt;/author&gt;&lt;author&gt;Quan, Stuart F&lt;/author&gt;&lt;/authors&gt;&lt;/contributors&gt;&lt;titles&gt;&lt;title&gt;A multicenter prospective comparative effectiveness study of the effect of physician certification and center accreditation on patient-centered outcomes in obstructive sleep apnea&lt;/title&gt;&lt;secondary-title&gt;Journal of Clinical Sleep Medicine&lt;/secondary-title&gt;&lt;/titles&gt;&lt;periodical&gt;&lt;full-title&gt;Journal of Clinical Sleep Medicine&lt;/full-title&gt;&lt;/periodical&gt;&lt;pages&gt;243-249&lt;/pages&gt;&lt;volume&gt;10&lt;/volume&gt;&lt;number&gt;3&lt;/number&gt;&lt;dates&gt;&lt;year&gt;2014&lt;/year&gt;&lt;/dates&gt;&lt;isbn&gt;1550-9389&lt;/isbn&gt;&lt;urls&gt;&lt;/urls&gt;&lt;/record&gt;&lt;/Cite&gt;&lt;/EndNote&gt;</w:instrText>
      </w:r>
      <w:r>
        <w:rPr>
          <w:rFonts w:ascii="Times New Roman" w:eastAsiaTheme="minorHAnsi" w:hAnsi="Times New Roman" w:cs="Times New Roman"/>
          <w:sz w:val="22"/>
        </w:rPr>
        <w:fldChar w:fldCharType="separate"/>
      </w:r>
      <w:r>
        <w:rPr>
          <w:rFonts w:ascii="Courier New" w:eastAsiaTheme="minorHAnsi" w:hAnsi="Courier New" w:cs="Courier New"/>
          <w:noProof/>
          <w:sz w:val="22"/>
          <w:vertAlign w:val="superscript"/>
        </w:rPr>
        <w:t>7</w:t>
      </w:r>
      <w:r>
        <w:rPr>
          <w:rFonts w:ascii="Times New Roman" w:eastAsiaTheme="minorHAnsi" w:hAnsi="Times New Roman" w:cs="Times New Roman"/>
          <w:sz w:val="22"/>
        </w:rPr>
        <w:fldChar w:fldCharType="end"/>
      </w:r>
      <w:r>
        <w:fldChar w:fldCharType="end"/>
      </w:r>
      <w:r>
        <w:rPr>
          <w:rFonts w:ascii="Times New Roman" w:eastAsiaTheme="minorHAnsi" w:hAnsi="Times New Roman" w:cs="Times New Roman"/>
          <w:sz w:val="22"/>
        </w:rPr>
        <w:t xml:space="preserve"> and objective compliance identified through objective monitoring was 40–83%.</w:t>
      </w:r>
      <w:r>
        <w:rPr>
          <w:rFonts w:ascii="Times New Roman" w:eastAsiaTheme="minorHAnsi" w:hAnsi="Times New Roman" w:cs="Times New Roman"/>
          <w:sz w:val="22"/>
        </w:rPr>
        <w:fldChar w:fldCharType="begin"/>
      </w:r>
      <w:r>
        <w:rPr>
          <w:rFonts w:ascii="Times New Roman" w:eastAsiaTheme="minorHAnsi" w:hAnsi="Times New Roman" w:cs="Times New Roman"/>
          <w:sz w:val="22"/>
        </w:rPr>
        <w:instrText xml:space="preserve"> ADDIN EN.CITE &lt;EndNote&gt;&lt;Cite&gt;&lt;Author&gt;Kribbs&lt;/Author&gt;&lt;Year&gt;2012&lt;/Year&gt;&lt;RecNum&gt;8&lt;/RecNum&gt;&lt;DisplayText&gt;&lt;style face="superscript" font="Courier New"&gt;8,9&lt;/style&gt;&lt;/DisplayText&gt;&lt;record&gt;&lt;rec-number&gt;8&lt;/rec-number&gt;&lt;foreign-keys&gt;&lt;key app="EN" db-id="eswvavzsosvad8efwtn5d0vq5zxtxrxe59xd" timestamp="1673893037"&gt;8&lt;/key&gt;&lt;/foreign-keys&gt;&lt;ref-type name="Journal Article"&gt;17&lt;/ref-type&gt;&lt;contributors&gt;&lt;authors&gt;&lt;author&gt;Kribbs, Nancy Barone&lt;/author&gt;&lt;author&gt;Pack, Allan I&lt;/author&gt;&lt;author&gt;Kline, Lewis R&lt;/author&gt;&lt;author&gt;Smith, Philip L&lt;/author&gt;&lt;author&gt;Schwartz, Alan R&lt;/author&gt;&lt;author&gt;Schubert, Norman M&lt;/author&gt;&lt;author&gt;Redline, Susan&lt;/author&gt;&lt;author&gt;Henry, John N&lt;/author&gt;&lt;author&gt;Getsy, Joanne E&lt;/author&gt;&lt;author&gt;Dinges, David F&lt;/author&gt;&lt;/authors&gt;&lt;/contributors&gt;&lt;titles&gt;&lt;title&gt;Objective measurement of patterns of nasal CPAP use by patients with obstructive sleep apnea&lt;/title&gt;&lt;secondary-title&gt;American Review of Respiratory Disease&lt;/secondary-title&gt;&lt;/titles&gt;&lt;periodical&gt;&lt;full-title&gt;American Review of Respiratory Disease&lt;/full-title&gt;&lt;/periodical&gt;&lt;dates&gt;&lt;year&gt;2012&lt;/year&gt;&lt;/dates&gt;&lt;urls&gt;&lt;/urls&gt;&lt;/record&gt;&lt;/Cite&gt;&lt;Cite&gt;&lt;Author&gt;Mcardle&lt;/Author&gt;&lt;Year&gt;1999&lt;/Year&gt;&lt;RecNum&gt;9&lt;/RecNum&gt;&lt;record&gt;&lt;rec-number&gt;9&lt;/rec-number&gt;&lt;foreign-keys&gt;&lt;key app="EN" db-id="eswvavzsosvad8efwtn5d0vq5zxtxrxe59xd" timestamp="1673893037"&gt;9&lt;/key&gt;&lt;/foreign-keys&gt;&lt;ref-type name="Journal Article"&gt;17&lt;/ref-type&gt;&lt;contributors&gt;&lt;authors&gt;&lt;author&gt;Mcardle, Nigel&lt;/author&gt;&lt;author&gt;Devereux, Graham&lt;/author&gt;&lt;author&gt;Heidarnejad, Hassan&lt;/author&gt;&lt;author&gt;Engleman, Heather M&lt;/author&gt;&lt;author&gt;Mackay, Thomas W&lt;/author&gt;&lt;author&gt;Douglas, Neil J&lt;/author&gt;&lt;/authors&gt;&lt;/contributors&gt;&lt;titles&gt;&lt;title&gt;Long-term use of CPAP therapy for sleep apnea/hypopnea syndrome&lt;/title&gt;&lt;secondary-title&gt;American journal of respiratory and critical care medicine&lt;/secondary-title&gt;&lt;/titles&gt;&lt;periodical&gt;&lt;full-title&gt;American journal of respiratory and critical care medicine&lt;/full-title&gt;&lt;/periodical&gt;&lt;pages&gt;1108-1114&lt;/pages&gt;&lt;volume&gt;159&lt;/volume&gt;&lt;number&gt;4&lt;/number&gt;&lt;dates&gt;&lt;year&gt;1999&lt;/year&gt;&lt;/dates&gt;&lt;isbn&gt;1535-4970&lt;/isbn&gt;&lt;urls&gt;&lt;/urls&gt;&lt;/record&gt;&lt;/Cite&gt;&lt;/EndNote&gt;</w:instrText>
      </w:r>
      <w:r>
        <w:rPr>
          <w:rFonts w:ascii="Times New Roman" w:eastAsiaTheme="minorHAnsi" w:hAnsi="Times New Roman" w:cs="Times New Roman"/>
          <w:sz w:val="22"/>
        </w:rPr>
        <w:fldChar w:fldCharType="separate"/>
      </w:r>
      <w:r>
        <w:fldChar w:fldCharType="begin"/>
      </w:r>
      <w:r>
        <w:instrText xml:space="preserve"> HYPERLINK \l "_ENREF_8"\o "Kribbs, 2012 #8"</w:instrText>
      </w:r>
      <w:r>
        <w:fldChar w:fldCharType="separate"/>
      </w:r>
      <w:r>
        <w:rPr>
          <w:rFonts w:ascii="Courier New" w:eastAsiaTheme="minorHAnsi" w:hAnsi="Courier New" w:cs="Courier New"/>
          <w:noProof/>
          <w:sz w:val="22"/>
          <w:vertAlign w:val="superscript"/>
        </w:rPr>
        <w:t>8</w:t>
      </w:r>
      <w:r>
        <w:fldChar w:fldCharType="end"/>
      </w:r>
      <w:r>
        <w:rPr>
          <w:rFonts w:ascii="Courier New" w:eastAsiaTheme="minorHAnsi" w:hAnsi="Courier New" w:cs="Courier New"/>
          <w:noProof/>
          <w:sz w:val="22"/>
          <w:vertAlign w:val="superscript"/>
        </w:rPr>
        <w:t>,</w:t>
      </w:r>
      <w:r>
        <w:fldChar w:fldCharType="begin"/>
      </w:r>
      <w:r>
        <w:instrText xml:space="preserve"> HYPERLINK \l "_ENREF_9"\o "Mcardle, 1999 #9"</w:instrText>
      </w:r>
      <w:r>
        <w:fldChar w:fldCharType="separate"/>
      </w:r>
      <w:r>
        <w:rPr>
          <w:rFonts w:ascii="Courier New" w:eastAsiaTheme="minorHAnsi" w:hAnsi="Courier New" w:cs="Courier New"/>
          <w:noProof/>
          <w:sz w:val="22"/>
          <w:vertAlign w:val="superscript"/>
        </w:rPr>
        <w:t>9</w:t>
      </w:r>
      <w:r>
        <w:fldChar w:fldCharType="end"/>
      </w:r>
      <w:r>
        <w:rPr>
          <w:rFonts w:ascii="Times New Roman" w:eastAsiaTheme="minorHAnsi" w:hAnsi="Times New Roman" w:cs="Times New Roman"/>
          <w:sz w:val="22"/>
        </w:rPr>
        <w:fldChar w:fldCharType="end"/>
      </w:r>
      <w:r>
        <w:rPr>
          <w:rFonts w:ascii="Times New Roman" w:eastAsiaTheme="minorHAnsi" w:hAnsi="Times New Roman" w:cs="Times New Roman"/>
          <w:sz w:val="22"/>
        </w:rPr>
        <w:t xml:space="preserve"> According to a study conducted in Korea, the subjective compliance rate was 34% and the objective compliance rate was 20.7%, which was lower than that of other countries because it was conducted before health insurance covered CPAP treatment.</w:t>
      </w:r>
      <w:r>
        <w:fldChar w:fldCharType="begin"/>
      </w:r>
      <w:r>
        <w:instrText xml:space="preserve"> HYPERLINK \l "_ENREF_10"\o "Choi, 2011 #10"</w:instrText>
      </w:r>
      <w:r>
        <w:fldChar w:fldCharType="separate"/>
      </w:r>
      <w:r>
        <w:rPr>
          <w:rFonts w:ascii="Times New Roman" w:eastAsiaTheme="minorHAnsi" w:hAnsi="Times New Roman" w:cs="Times New Roman"/>
          <w:sz w:val="22"/>
        </w:rPr>
        <w:fldChar w:fldCharType="begin"/>
      </w:r>
      <w:r>
        <w:rPr>
          <w:rFonts w:ascii="Times New Roman" w:eastAsiaTheme="minorHAnsi" w:hAnsi="Times New Roman" w:cs="Times New Roman"/>
          <w:sz w:val="22"/>
        </w:rPr>
        <w:instrText xml:space="preserve"> ADDIN EN.CITE &lt;EndNote&gt;&lt;Cite&gt;&lt;Author&gt;Choi&lt;/Author&gt;&lt;Year&gt;2011&lt;/Year&gt;&lt;RecNum&gt;10&lt;/RecNum&gt;&lt;DisplayText&gt;&lt;style face="superscript" font="Courier New"&gt;10&lt;/style&gt;&lt;/DisplayText&gt;&lt;record&gt;&lt;rec-number&gt;10&lt;/rec-number&gt;&lt;foreign-keys&gt;&lt;key app="EN" db-id="eswvavzsosvad8efwtn5d0vq5zxtxrxe59xd" timestamp="1673893037"&gt;10&lt;/key&gt;&lt;/foreign-keys&gt;&lt;ref-type name="Journal Article"&gt;17&lt;/ref-type&gt;&lt;contributors&gt;&lt;authors&gt;&lt;author&gt;Choi, Ji-Ae&lt;/author&gt;&lt;author&gt;Yoon, In-Young&lt;/author&gt;&lt;author&gt;Han, Eun-Gyeong&lt;/author&gt;&lt;author&gt;Lee, Sangdon&lt;/author&gt;&lt;/authors&gt;&lt;/contributors&gt;&lt;titles&gt;&lt;title&gt;Subjective and objective CPAP compliance in patients with obstructive sleep apnea syndrome&lt;/title&gt;&lt;secondary-title&gt;Sleep Medicine Research&lt;/secondary-title&gt;&lt;/titles&gt;&lt;periodical&gt;&lt;full-title&gt;Sleep Medicine Research&lt;/full-title&gt;&lt;/periodical&gt;&lt;pages&gt;63-68&lt;/pages&gt;&lt;volume&gt;2&lt;/volume&gt;&lt;number&gt;2&lt;/number&gt;&lt;dates&gt;&lt;year&gt;2011&lt;/year&gt;&lt;/dates&gt;&lt;isbn&gt;2093-9175&lt;/isbn&gt;&lt;urls&gt;&lt;/urls&gt;&lt;/record&gt;&lt;/Cite&gt;&lt;/EndNote&gt;</w:instrText>
      </w:r>
      <w:r>
        <w:rPr>
          <w:rFonts w:ascii="Times New Roman" w:eastAsiaTheme="minorHAnsi" w:hAnsi="Times New Roman" w:cs="Times New Roman"/>
          <w:sz w:val="22"/>
        </w:rPr>
        <w:fldChar w:fldCharType="separate"/>
      </w:r>
      <w:r>
        <w:rPr>
          <w:rFonts w:ascii="Courier New" w:eastAsiaTheme="minorHAnsi" w:hAnsi="Courier New" w:cs="Courier New"/>
          <w:noProof/>
          <w:sz w:val="22"/>
          <w:vertAlign w:val="superscript"/>
        </w:rPr>
        <w:t>10</w:t>
      </w:r>
      <w:r>
        <w:rPr>
          <w:rFonts w:ascii="Times New Roman" w:eastAsiaTheme="minorHAnsi" w:hAnsi="Times New Roman" w:cs="Times New Roman"/>
          <w:sz w:val="22"/>
        </w:rPr>
        <w:fldChar w:fldCharType="end"/>
      </w:r>
      <w:r>
        <w:fldChar w:fldCharType="end"/>
      </w:r>
      <w:r>
        <w:rPr>
          <w:rFonts w:ascii="Times New Roman" w:eastAsiaTheme="minorHAnsi" w:hAnsi="Times New Roman" w:cs="Times New Roman"/>
          <w:sz w:val="22"/>
        </w:rPr>
        <w:t xml:space="preserve"> Since adherence to CPAP determines the success or failure of OSA treatment, which factors predict adherence before treatment begins is a clinically curious topic.</w:t>
      </w:r>
    </w:p>
    <w:p>
      <w:pPr>
        <w:ind w:firstLine="426"/>
        <w:jc w:val="left"/>
        <w:spacing w:line="480" w:lineRule="auto"/>
        <w:rPr>
          <w:rFonts w:ascii="Times New Roman" w:eastAsiaTheme="minorHAnsi" w:hAnsi="Times New Roman" w:cs="Times New Roman"/>
          <w:sz w:val="22"/>
        </w:rPr>
      </w:pPr>
      <w:r>
        <w:rPr>
          <w:rFonts w:ascii="Times New Roman" w:eastAsiaTheme="minorHAnsi" w:hAnsi="Times New Roman" w:cs="Times New Roman"/>
          <w:sz w:val="22"/>
        </w:rPr>
        <w:t>Insomnia, claustrophobia, nasal stiffness, dry mouth and throat, and frequent awakening during CPAP were noted as factors that decreased compliance with CPAP.</w:t>
      </w:r>
      <w:r>
        <w:fldChar w:fldCharType="begin"/>
      </w:r>
      <w:r>
        <w:instrText xml:space="preserve"> HYPERLINK \l "_ENREF_11"\o "WANG, 2006 #11"</w:instrText>
      </w:r>
      <w:r>
        <w:fldChar w:fldCharType="separate"/>
      </w:r>
      <w:r>
        <w:rPr>
          <w:rFonts w:ascii="Times New Roman" w:eastAsiaTheme="minorHAnsi" w:hAnsi="Times New Roman" w:cs="Times New Roman"/>
          <w:sz w:val="22"/>
        </w:rPr>
        <w:fldChar w:fldCharType="begin"/>
      </w:r>
      <w:r>
        <w:rPr>
          <w:rFonts w:ascii="Times New Roman" w:eastAsiaTheme="minorHAnsi" w:hAnsi="Times New Roman" w:cs="Times New Roman"/>
          <w:sz w:val="22"/>
        </w:rPr>
        <w:instrText xml:space="preserve"> ADDIN EN.CITE </w:instrText>
      </w:r>
      <w:r>
        <w:rPr>
          <w:rFonts w:ascii="Times New Roman" w:eastAsiaTheme="minorHAnsi" w:hAnsi="Times New Roman" w:cs="Times New Roman"/>
          <w:sz w:val="22"/>
        </w:rPr>
        <w:fldChar w:fldCharType="begin"/>
      </w:r>
      <w:r>
        <w:rPr>
          <w:rFonts w:ascii="Times New Roman" w:eastAsiaTheme="minorHAnsi" w:hAnsi="Times New Roman" w:cs="Times New Roman"/>
          <w:sz w:val="22"/>
        </w:rPr>
        <w:instrText xml:space="preserve"> ADDIN EN.CITE.DATA </w:instrText>
      </w:r>
      <w:r>
        <w:rPr>
          <w:rFonts w:ascii="Times New Roman" w:eastAsiaTheme="minorHAnsi" w:hAnsi="Times New Roman" w:cs="Times New Roman"/>
          <w:sz w:val="22"/>
        </w:rPr>
        <w:fldChar w:fldCharType="end"/>
      </w:r>
      <w:r>
        <w:rPr>
          <w:rFonts w:ascii="Times New Roman" w:eastAsiaTheme="minorHAnsi" w:hAnsi="Times New Roman" w:cs="Times New Roman"/>
          <w:sz w:val="22"/>
        </w:rPr>
        <w:fldChar w:fldCharType="separate"/>
      </w:r>
      <w:r>
        <w:rPr>
          <w:rFonts w:ascii="Courier New" w:eastAsiaTheme="minorHAnsi" w:hAnsi="Courier New" w:cs="Courier New"/>
          <w:noProof/>
          <w:sz w:val="22"/>
          <w:vertAlign w:val="superscript"/>
        </w:rPr>
        <w:t>11-14</w:t>
      </w:r>
      <w:r>
        <w:rPr>
          <w:rFonts w:ascii="Times New Roman" w:eastAsiaTheme="minorHAnsi" w:hAnsi="Times New Roman" w:cs="Times New Roman"/>
          <w:sz w:val="22"/>
        </w:rPr>
        <w:fldChar w:fldCharType="end"/>
      </w:r>
      <w:r>
        <w:fldChar w:fldCharType="end"/>
      </w:r>
      <w:r>
        <w:rPr>
          <w:rFonts w:ascii="Times New Roman" w:eastAsiaTheme="minorHAnsi" w:hAnsi="Times New Roman" w:cs="Times New Roman"/>
          <w:sz w:val="22"/>
        </w:rPr>
        <w:t xml:space="preserve"> Conversely, factors associated with increased compliance included old age, female sex, daytime sleepiness (i.e., Epworth Sleepiness Scale [ESS] total score &gt; 10), severity of OSA (i.e., apnea hypopnea index [AHI] &gt; 30 events per hour), low severity of depression and insomnia, low O</w:t>
      </w:r>
      <w:r>
        <w:rPr>
          <w:rFonts w:ascii="Times New Roman" w:eastAsiaTheme="minorHAnsi" w:hAnsi="Times New Roman" w:cs="Times New Roman"/>
          <w:sz w:val="22"/>
          <w:vertAlign w:val="subscript"/>
        </w:rPr>
        <w:t>2</w:t>
      </w:r>
      <w:r>
        <w:rPr>
          <w:rFonts w:ascii="Times New Roman" w:eastAsiaTheme="minorHAnsi" w:hAnsi="Times New Roman" w:cs="Times New Roman"/>
          <w:sz w:val="22"/>
        </w:rPr>
        <w:t xml:space="preserve"> saturation, and hypnotics use during CPAP titration.</w:t>
      </w:r>
      <w:r>
        <w:rPr>
          <w:rFonts w:ascii="Times New Roman" w:eastAsiaTheme="minorHAnsi" w:hAnsi="Times New Roman" w:cs="Times New Roman"/>
          <w:sz w:val="22"/>
        </w:rPr>
        <w:fldChar w:fldCharType="begin"/>
      </w:r>
      <w:r>
        <w:rPr>
          <w:rFonts w:ascii="Times New Roman" w:eastAsiaTheme="minorHAnsi" w:hAnsi="Times New Roman" w:cs="Times New Roman"/>
          <w:sz w:val="22"/>
        </w:rPr>
        <w:instrText xml:space="preserve"> ADDIN EN.CITE </w:instrText>
      </w:r>
      <w:r>
        <w:rPr>
          <w:rFonts w:ascii="Times New Roman" w:eastAsiaTheme="minorHAnsi" w:hAnsi="Times New Roman" w:cs="Times New Roman"/>
          <w:sz w:val="22"/>
        </w:rPr>
        <w:fldChar w:fldCharType="begin"/>
      </w:r>
      <w:r>
        <w:rPr>
          <w:rFonts w:ascii="Times New Roman" w:eastAsiaTheme="minorHAnsi" w:hAnsi="Times New Roman" w:cs="Times New Roman"/>
          <w:sz w:val="22"/>
        </w:rPr>
        <w:instrText xml:space="preserve"> ADDIN EN.CITE.DATA </w:instrText>
      </w:r>
      <w:r>
        <w:rPr>
          <w:rFonts w:ascii="Times New Roman" w:eastAsiaTheme="minorHAnsi" w:hAnsi="Times New Roman" w:cs="Times New Roman"/>
          <w:sz w:val="22"/>
        </w:rPr>
        <w:fldChar w:fldCharType="end"/>
      </w:r>
      <w:r>
        <w:rPr>
          <w:rFonts w:ascii="Times New Roman" w:eastAsiaTheme="minorHAnsi" w:hAnsi="Times New Roman" w:cs="Times New Roman"/>
          <w:sz w:val="22"/>
        </w:rPr>
        <w:fldChar w:fldCharType="separate"/>
      </w:r>
      <w:r>
        <w:fldChar w:fldCharType="begin"/>
      </w:r>
      <w:r>
        <w:instrText xml:space="preserve"> HYPERLINK \l "_ENREF_10"\o "Choi, 2011 #10"</w:instrText>
      </w:r>
      <w:r>
        <w:fldChar w:fldCharType="separate"/>
      </w:r>
      <w:r>
        <w:rPr>
          <w:rFonts w:ascii="Courier New" w:eastAsiaTheme="minorHAnsi" w:hAnsi="Courier New" w:cs="Courier New"/>
          <w:noProof/>
          <w:sz w:val="22"/>
          <w:vertAlign w:val="superscript"/>
        </w:rPr>
        <w:t>10</w:t>
      </w:r>
      <w:r>
        <w:fldChar w:fldCharType="end"/>
      </w:r>
      <w:r>
        <w:rPr>
          <w:rFonts w:ascii="Courier New" w:eastAsiaTheme="minorHAnsi" w:hAnsi="Courier New" w:cs="Courier New"/>
          <w:noProof/>
          <w:sz w:val="22"/>
          <w:vertAlign w:val="superscript"/>
        </w:rPr>
        <w:t>,</w:t>
      </w:r>
      <w:r>
        <w:fldChar w:fldCharType="begin"/>
      </w:r>
      <w:r>
        <w:instrText xml:space="preserve"> HYPERLINK \l "_ENREF_15"\o "Lewis, 2004 #15"</w:instrText>
      </w:r>
      <w:r>
        <w:fldChar w:fldCharType="separate"/>
      </w:r>
      <w:r>
        <w:rPr>
          <w:rFonts w:ascii="Courier New" w:eastAsiaTheme="minorHAnsi" w:hAnsi="Courier New" w:cs="Courier New"/>
          <w:noProof/>
          <w:sz w:val="22"/>
          <w:vertAlign w:val="superscript"/>
        </w:rPr>
        <w:t>15-17</w:t>
      </w:r>
      <w:r>
        <w:fldChar w:fldCharType="end"/>
      </w:r>
      <w:r>
        <w:rPr>
          <w:rFonts w:ascii="Times New Roman" w:eastAsiaTheme="minorHAnsi" w:hAnsi="Times New Roman" w:cs="Times New Roman"/>
          <w:sz w:val="22"/>
        </w:rPr>
        <w:fldChar w:fldCharType="end"/>
      </w:r>
      <w:r>
        <w:rPr>
          <w:rFonts w:ascii="Times New Roman" w:eastAsiaTheme="minorHAnsi" w:hAnsi="Times New Roman" w:cs="Times New Roman"/>
          <w:sz w:val="22"/>
        </w:rPr>
        <w:t xml:space="preserve"> </w:t>
      </w:r>
      <w:bookmarkStart w:id="1" w:name="_Hlk149518884"/>
      <w:r>
        <w:rPr>
          <w:rFonts w:ascii="Times New Roman" w:eastAsiaTheme="minorHAnsi" w:hAnsi="Times New Roman" w:cs="Times New Roman"/>
          <w:sz w:val="22"/>
          <w:highlight w:val="yellow"/>
        </w:rPr>
        <w:t>Previous studies showed differing results depending on the study group, including interracial differences, such as finding significant relationships among African Americans, lower socioeconomic status, and poor adherence to CPAP.</w:t>
      </w:r>
      <w:bookmarkEnd w:id="1"/>
      <w:r>
        <w:rPr>
          <w:rFonts w:ascii="Times New Roman" w:eastAsiaTheme="minorHAnsi" w:hAnsi="Times New Roman" w:cs="Times New Roman"/>
          <w:sz w:val="22"/>
        </w:rPr>
        <w:fldChar w:fldCharType="begin"/>
      </w:r>
      <w:r>
        <w:rPr>
          <w:rFonts w:ascii="Times New Roman" w:eastAsiaTheme="minorHAnsi" w:hAnsi="Times New Roman" w:cs="Times New Roman"/>
          <w:sz w:val="22"/>
        </w:rPr>
        <w:instrText xml:space="preserve"> ADDIN EN.CITE &lt;EndNote&gt;&lt;Cite&gt;&lt;Author&gt;Platt&lt;/Author&gt;&lt;Year&gt;2009&lt;/Year&gt;&lt;RecNum&gt;18&lt;/RecNum&gt;&lt;DisplayText&gt;&lt;style face="superscript" font="Courier New"&gt;3,18&lt;/style&gt;&lt;/DisplayText&gt;&lt;record&gt;&lt;rec-number&gt;18&lt;/rec-number&gt;&lt;foreign-keys&gt;&lt;key app="EN" db-id="eswvavzsosvad8efwtn5d0vq5zxtxrxe59xd" timestamp="1673893037"&gt;18&lt;/key&gt;&lt;/foreign-keys&gt;&lt;ref-type name="Journal Article"&gt;17&lt;/ref-type&gt;&lt;contributors&gt;&lt;authors&gt;&lt;author&gt;Platt, Alec B&lt;/author&gt;&lt;author&gt;Field, Samuel H&lt;/author&gt;&lt;author&gt;Asch, David A&lt;/author&gt;&lt;author&gt;Chen, Zhen&lt;/author&gt;&lt;author&gt;Patel, Nirav P&lt;/author&gt;&lt;author&gt;Gupta, Rajesh&lt;/author&gt;&lt;author&gt;Roche, Dominic F&lt;/author&gt;&lt;author&gt;Gurubhagavatula, Indira&lt;/author&gt;&lt;author&gt;Christie, Jason D&lt;/author&gt;&lt;author&gt;Kuna, Samuel T&lt;/author&gt;&lt;/authors&gt;&lt;/contributors&gt;&lt;titles&gt;&lt;title&gt;Neighborhood of residence is associated with daily adherence to CPAP therapy&lt;/title&gt;&lt;secondary-title&gt;Sleep&lt;/secondary-title&gt;&lt;/titles&gt;&lt;periodical&gt;&lt;full-title&gt;Sleep&lt;/full-title&gt;&lt;/periodical&gt;&lt;pages&gt;799-806&lt;/pages&gt;&lt;volume&gt;32&lt;/volume&gt;&lt;number&gt;6&lt;/number&gt;&lt;dates&gt;&lt;year&gt;2009&lt;/year&gt;&lt;/dates&gt;&lt;isbn&gt;1550-9109&lt;/isbn&gt;&lt;urls&gt;&lt;related-urls&gt;&lt;url&gt;https://www.ncbi.nlm.nih.gov/pmc/articles/PMC2690568/pdf/aasm.32.6.799.pdf&lt;/url&gt;&lt;/related-urls&gt;&lt;/urls&gt;&lt;/record&gt;&lt;/Cite&gt;&lt;Cite&gt;&lt;Author&gt;Freedman&lt;/Author&gt;&lt;Year&gt;2017&lt;/Year&gt;&lt;RecNum&gt;3&lt;/RecNum&gt;&lt;record&gt;&lt;rec-number&gt;3&lt;/rec-number&gt;&lt;foreign-keys&gt;&lt;key app="EN" db-id="eswvavzsosvad8efwtn5d0vq5zxtxrxe59xd" timestamp="1673893037"&gt;3&lt;/key&gt;&lt;/foreign-keys&gt;&lt;ref-type name="Book Section"&gt;5&lt;/ref-type&gt;&lt;contributors&gt;&lt;authors&gt;&lt;author&gt;Freedman, N&lt;/author&gt;&lt;/authors&gt;&lt;secondary-authors&gt;&lt;author&gt;Kryger, Meir H&lt;/author&gt;&lt;author&gt;Roth, Thomas&lt;/author&gt;&lt;author&gt;Dement, W.C&lt;/author&gt;&lt;/secondary-authors&gt;&lt;/contributors&gt;&lt;titles&gt;&lt;title&gt;Positive airway pressure treatment for obstructive sleep apnea&lt;/title&gt;&lt;secondary-title&gt;Principles and Practice of Sleep Medicine&lt;/secondary-title&gt;&lt;/titles&gt;&lt;edition&gt;6th&lt;/edition&gt;&lt;dates&gt;&lt;year&gt;2017&lt;/year&gt;&lt;/dates&gt;&lt;publisher&gt;Elsevier&lt;/publisher&gt;&lt;isbn&gt;0323675050&lt;/isbn&gt;&lt;urls&gt;&lt;/urls&gt;&lt;/record&gt;&lt;/Cite&gt;&lt;/EndNote&gt;</w:instrText>
      </w:r>
      <w:r>
        <w:rPr>
          <w:rFonts w:ascii="Times New Roman" w:eastAsiaTheme="minorHAnsi" w:hAnsi="Times New Roman" w:cs="Times New Roman"/>
          <w:sz w:val="22"/>
        </w:rPr>
        <w:fldChar w:fldCharType="separate"/>
      </w:r>
      <w:r>
        <w:fldChar w:fldCharType="begin"/>
      </w:r>
      <w:r>
        <w:instrText xml:space="preserve"> HYPERLINK \l "_ENREF_3"\o "Freedman, 2017 #3"</w:instrText>
      </w:r>
      <w:r>
        <w:fldChar w:fldCharType="separate"/>
      </w:r>
      <w:r>
        <w:rPr>
          <w:rFonts w:ascii="Courier New" w:eastAsiaTheme="minorHAnsi" w:hAnsi="Courier New" w:cs="Courier New"/>
          <w:noProof/>
          <w:sz w:val="22"/>
          <w:vertAlign w:val="superscript"/>
        </w:rPr>
        <w:t>3</w:t>
      </w:r>
      <w:r>
        <w:fldChar w:fldCharType="end"/>
      </w:r>
      <w:r>
        <w:rPr>
          <w:rFonts w:ascii="Courier New" w:eastAsiaTheme="minorHAnsi" w:hAnsi="Courier New" w:cs="Courier New"/>
          <w:noProof/>
          <w:sz w:val="22"/>
          <w:vertAlign w:val="superscript"/>
        </w:rPr>
        <w:t>,</w:t>
      </w:r>
      <w:r>
        <w:fldChar w:fldCharType="begin"/>
      </w:r>
      <w:r>
        <w:instrText xml:space="preserve"> HYPERLINK \l "_ENREF_18"\o "Platt, 2009 #18"</w:instrText>
      </w:r>
      <w:r>
        <w:fldChar w:fldCharType="separate"/>
      </w:r>
      <w:r>
        <w:rPr>
          <w:rFonts w:ascii="Courier New" w:eastAsiaTheme="minorHAnsi" w:hAnsi="Courier New" w:cs="Courier New"/>
          <w:noProof/>
          <w:sz w:val="22"/>
          <w:vertAlign w:val="superscript"/>
        </w:rPr>
        <w:t>18</w:t>
      </w:r>
      <w:r>
        <w:fldChar w:fldCharType="end"/>
      </w:r>
      <w:r>
        <w:rPr>
          <w:rFonts w:ascii="Times New Roman" w:eastAsiaTheme="minorHAnsi" w:hAnsi="Times New Roman" w:cs="Times New Roman"/>
          <w:sz w:val="22"/>
        </w:rPr>
        <w:fldChar w:fldCharType="end"/>
      </w:r>
      <w:r>
        <w:rPr>
          <w:rFonts w:ascii="Times New Roman" w:eastAsiaTheme="minorHAnsi" w:hAnsi="Times New Roman" w:cs="Times New Roman"/>
          <w:sz w:val="22"/>
        </w:rPr>
        <w:t xml:space="preserve"> However, since few studies have been </w:t>
      </w:r>
      <w:r>
        <w:rPr>
          <w:rFonts w:ascii="Times New Roman" w:eastAsiaTheme="minorHAnsi" w:hAnsi="Times New Roman" w:cs="Times New Roman"/>
          <w:sz w:val="22"/>
        </w:rPr>
        <w:t>conducted on predicting factors for CPAP compliance in Korea, further studies on this topic and the differences in clinical characteristics and polysomnography (PSG) results between compliant and non-compliant groups are needed.</w:t>
      </w:r>
    </w:p>
    <w:p>
      <w:pPr>
        <w:ind w:firstLine="426"/>
        <w:jc w:val="left"/>
        <w:spacing w:line="480" w:lineRule="auto"/>
        <w:rPr>
          <w:rFonts w:ascii="Times New Roman" w:eastAsiaTheme="minorHAnsi" w:hAnsi="Times New Roman" w:cs="Times New Roman"/>
          <w:b/>
          <w:sz w:val="22"/>
        </w:rPr>
      </w:pPr>
      <w:r>
        <w:rPr>
          <w:rFonts w:ascii="Times New Roman" w:eastAsiaTheme="minorHAnsi" w:hAnsi="Times New Roman" w:cs="Times New Roman"/>
          <w:sz w:val="22"/>
        </w:rPr>
        <w:t xml:space="preserve"> The aims of this study were </w:t>
      </w:r>
      <w:r>
        <w:rPr>
          <w:rFonts w:ascii="Times New Roman" w:eastAsiaTheme="minorHAnsi" w:hAnsi="Times New Roman" w:cs="Times New Roman"/>
          <w:sz w:val="22"/>
        </w:rPr>
        <w:t>i</w:t>
      </w:r>
      <w:r>
        <w:rPr>
          <w:rFonts w:ascii="Times New Roman" w:eastAsiaTheme="minorHAnsi" w:hAnsi="Times New Roman" w:cs="Times New Roman"/>
          <w:sz w:val="22"/>
        </w:rPr>
        <w:t>) to identify the factors predicting compliance with CPAP in patients with OSA and ii) to compare the demographic and clinical characteristics of patients who are compliant or non-compliant with CPAP.</w:t>
      </w:r>
    </w:p>
    <w:p>
      <w:pPr>
        <w:ind w:firstLine="426"/>
        <w:jc w:val="left"/>
        <w:spacing w:line="480" w:lineRule="auto"/>
        <w:rPr>
          <w:rFonts w:ascii="Times New Roman" w:eastAsiaTheme="minorHAnsi" w:hAnsi="Times New Roman" w:cs="Times New Roman"/>
          <w:sz w:val="22"/>
        </w:rPr>
      </w:pPr>
    </w:p>
    <w:p>
      <w:pPr>
        <w:autoSpaceDE/>
        <w:autoSpaceDN/>
        <w:widowControl/>
        <w:wordWrap/>
        <w:jc w:val="left"/>
        <w:spacing w:line="480" w:lineRule="auto"/>
        <w:rPr>
          <w:rFonts w:ascii="Times New Roman" w:eastAsiaTheme="minorHAnsi" w:hAnsi="Times New Roman" w:cs="Times New Roman"/>
          <w:b/>
          <w:sz w:val="22"/>
        </w:rPr>
      </w:pPr>
    </w:p>
    <w:p>
      <w:pPr>
        <w:autoSpaceDE/>
        <w:autoSpaceDN/>
        <w:widowControl/>
        <w:wordWrap/>
        <w:jc w:val="left"/>
        <w:spacing w:line="480" w:lineRule="auto"/>
        <w:rPr>
          <w:rFonts w:ascii="Times New Roman" w:eastAsiaTheme="minorHAnsi" w:hAnsi="Times New Roman" w:cs="Times New Roman"/>
          <w:b/>
          <w:sz w:val="22"/>
        </w:rPr>
      </w:pPr>
      <w:r>
        <w:rPr>
          <w:rFonts w:ascii="Times New Roman" w:eastAsiaTheme="minorHAnsi" w:hAnsi="Times New Roman" w:cs="Times New Roman"/>
          <w:b/>
          <w:sz w:val="22"/>
        </w:rPr>
        <w:t>METHODS</w:t>
      </w:r>
    </w:p>
    <w:p>
      <w:pPr>
        <w:snapToGrid w:val="0"/>
        <w:spacing w:line="480" w:lineRule="auto"/>
        <w:rPr>
          <w:lang w:eastAsia="en-US"/>
          <w:rFonts w:ascii="Arial" w:eastAsia="바탕" w:hAnsi="Arial" w:cs="Arial"/>
          <w:b/>
          <w:bCs/>
          <w:i/>
          <w:iCs/>
          <w:sz w:val="28"/>
          <w:szCs w:val="28"/>
          <w:kern w:val="0"/>
        </w:rPr>
      </w:pPr>
      <w:r>
        <w:rPr>
          <w:rFonts w:ascii="Times New Roman" w:hAnsi="Times New Roman" w:cs="Times New Roman"/>
          <w:b/>
          <w:bCs/>
          <w:sz w:val="22"/>
        </w:rPr>
        <w:t>Participants</w:t>
      </w:r>
      <w:r>
        <w:rPr>
          <w:lang w:eastAsia="en-US"/>
          <w:rFonts w:ascii="Arial" w:eastAsia="바탕" w:hAnsi="Arial" w:cs="Arial"/>
          <w:b/>
          <w:bCs/>
          <w:i/>
          <w:iCs/>
          <w:sz w:val="28"/>
          <w:szCs w:val="28"/>
          <w:kern w:val="0"/>
        </w:rPr>
        <w:t xml:space="preserve"> </w:t>
      </w:r>
    </w:p>
    <w:p>
      <w:pPr>
        <w:snapToGrid w:val="0"/>
        <w:spacing w:line="480" w:lineRule="auto"/>
        <w:rPr>
          <w:rFonts w:ascii="Times New Roman" w:hAnsi="Times New Roman" w:cs="Times New Roman"/>
          <w:sz w:val="22"/>
        </w:rPr>
      </w:pPr>
      <w:r>
        <w:rPr>
          <w:rFonts w:ascii="Times New Roman" w:hAnsi="Times New Roman" w:cs="Times New Roman"/>
          <w:sz w:val="22"/>
        </w:rPr>
        <w:t>We retrospectively reviewed the medical records, polysomnography records, and self-report questionnaires of patients with OSA who had been treated at the Gil Medical Center between Jan 2014 and Jun 2019. All patients were diagnosed with OSA based on PSG by board-certified otolaryngologists</w:t>
      </w:r>
      <w:r>
        <w:rPr>
          <w:rFonts w:ascii="Times New Roman" w:hAnsi="Times New Roman" w:cs="Times New Roman"/>
          <w:sz w:val="22"/>
        </w:rPr>
        <w:t xml:space="preserve"> </w:t>
      </w:r>
      <w:r>
        <w:rPr>
          <w:rFonts w:ascii="Times New Roman" w:hAnsi="Times New Roman" w:cs="Times New Roman"/>
          <w:sz w:val="22"/>
        </w:rPr>
        <w:t xml:space="preserve">with more than 10 years’ clinical experience in OSA and sleep </w:t>
      </w:r>
      <w:r>
        <w:rPr>
          <w:rFonts w:ascii="Times New Roman" w:hAnsi="Times New Roman" w:cs="Times New Roman"/>
          <w:sz w:val="22"/>
        </w:rPr>
        <w:t>medicine, and</w:t>
      </w:r>
      <w:r>
        <w:rPr>
          <w:rFonts w:ascii="Times New Roman" w:hAnsi="Times New Roman" w:cs="Times New Roman"/>
          <w:sz w:val="22"/>
        </w:rPr>
        <w:t xml:space="preserve"> treated with CPAP or automatic positive airway pressure (APAP). OSA diagnosis was made based on the diagnostic criteria of the International Classification of Sleep Disorder-3 (ICSD-3) when AHI ≥ 5 and having related symptoms or AHI ≥ 15.</w:t>
      </w:r>
      <w:r>
        <w:fldChar w:fldCharType="begin"/>
      </w:r>
      <w:r>
        <w:instrText xml:space="preserve"> HYPERLINK \l "_ENREF_19"\o "Sleep_Medicine, 2014 #19"</w:instrText>
      </w:r>
      <w:r>
        <w:fldChar w:fldCharType="separate"/>
      </w:r>
      <w:r>
        <w:rPr>
          <w:rFonts w:ascii="Times New Roman" w:hAnsi="Times New Roman" w:cs="Times New Roman"/>
          <w:sz w:val="22"/>
        </w:rPr>
        <w:fldChar w:fldCharType="begin"/>
      </w:r>
      <w:r>
        <w:rPr>
          <w:rFonts w:ascii="Times New Roman" w:hAnsi="Times New Roman" w:cs="Times New Roman"/>
          <w:sz w:val="22"/>
        </w:rPr>
        <w:instrText xml:space="preserve"> ADDIN EN.CITE &lt;EndNote&gt;&lt;Cite&gt;&lt;Author&gt;Sleep_Medicine&lt;/Author&gt;&lt;Year&gt;2014&lt;/Year&gt;&lt;RecNum&gt;19&lt;/RecNum&gt;&lt;DisplayText&gt;&lt;style face="superscript" font="Courier New"&gt;19&lt;/style&gt;&lt;/DisplayText&gt;&lt;record&gt;&lt;rec-number&gt;19&lt;/rec-number&gt;&lt;foreign-keys&gt;&lt;key app="EN" db-id="eswvavzsosvad8efwtn5d0vq5zxtxrxe59xd" timestamp="1673893037"&gt;19&lt;/key&gt;&lt;/foreign-keys&gt;&lt;ref-type name="Book"&gt;6&lt;/ref-type&gt;&lt;contributors&gt;&lt;authors&gt;&lt;author&gt;American_Academy_of_ Sleep_Medicine&lt;/author&gt;&lt;/authors&gt;&lt;/contributors&gt;&lt;titles&gt;&lt;title&gt;International Classification of Sleep Disorders&lt;/title&gt;&lt;/titles&gt;&lt;dates&gt;&lt;year&gt;2014&lt;/year&gt;&lt;/dates&gt;&lt;publisher&gt;American Academy of Sleep Medicine&lt;/publisher&gt;&lt;isbn&gt;9780991543410&lt;/isbn&gt;&lt;urls&gt;&lt;related-urls&gt;&lt;url&gt;https://books.google.co.kr/books?id=aXb7oAEACAAJ&lt;/url&gt;&lt;/related-urls&gt;&lt;/urls&gt;&lt;/record&gt;&lt;/Cite&gt;&lt;/EndNote&gt;</w:instrText>
      </w:r>
      <w:r>
        <w:rPr>
          <w:rFonts w:ascii="Times New Roman" w:hAnsi="Times New Roman" w:cs="Times New Roman"/>
          <w:sz w:val="22"/>
        </w:rPr>
        <w:fldChar w:fldCharType="separate"/>
      </w:r>
      <w:r>
        <w:rPr>
          <w:rFonts w:ascii="Courier New" w:hAnsi="Courier New" w:cs="Courier New"/>
          <w:noProof/>
          <w:sz w:val="22"/>
          <w:vertAlign w:val="superscript"/>
        </w:rPr>
        <w:t>19</w:t>
      </w:r>
      <w:r>
        <w:rPr>
          <w:rFonts w:ascii="Times New Roman" w:hAnsi="Times New Roman" w:cs="Times New Roman"/>
          <w:sz w:val="22"/>
        </w:rPr>
        <w:fldChar w:fldCharType="end"/>
      </w:r>
      <w:r>
        <w:fldChar w:fldCharType="end"/>
      </w:r>
      <w:r>
        <w:rPr>
          <w:rFonts w:ascii="Times New Roman" w:hAnsi="Times New Roman" w:cs="Times New Roman"/>
          <w:sz w:val="22"/>
        </w:rPr>
        <w:t xml:space="preserve"> CPAP (or APAP) was prescribed for patients with AHI ≥ 15 or AHI ≥ 5 and OSA-related symptoms or disease (i.e., excessive daytime sleepiness, nocturnal sleep disturbance hypertension, heart disease, or history of cerebrovascular disease).</w:t>
      </w:r>
    </w:p>
    <w:p>
      <w:pPr>
        <w:snapToGrid w:val="0"/>
        <w:spacing w:line="480" w:lineRule="auto"/>
        <w:rPr>
          <w:rFonts w:ascii="Times New Roman" w:hAnsi="Times New Roman" w:cs="Times New Roman"/>
          <w:sz w:val="22"/>
        </w:rPr>
      </w:pPr>
      <w:r>
        <w:rPr>
          <w:rFonts w:ascii="Times New Roman" w:hAnsi="Times New Roman" w:cs="Times New Roman"/>
          <w:sz w:val="22"/>
        </w:rPr>
        <w:t xml:space="preserve">The criterion for compliance was the use of CPAP devices for ≥ 4 h per night for ≥ 70% of the consecutive 30 nights (i.e., 21 days) during the first 3 months of treatment initiation. This compliance standard is also the CPAP reimbursement standard of the Korean National Health Insurance System, which has been in effect since </w:t>
      </w:r>
      <w:r>
        <w:rPr>
          <w:rFonts w:ascii="Times New Roman" w:hAnsi="Times New Roman" w:cs="Times New Roman"/>
          <w:sz w:val="22"/>
        </w:rPr>
        <w:t>July,</w:t>
      </w:r>
      <w:r>
        <w:rPr>
          <w:rFonts w:ascii="Times New Roman" w:hAnsi="Times New Roman" w:cs="Times New Roman"/>
          <w:sz w:val="22"/>
        </w:rPr>
        <w:t xml:space="preserve"> 2018. The patients were classified into two groups: compliant and non-compliant. If not covered by national health insurance, the cost of purchasing a CPAP (or APAP) machine was 1627–2033 USD; however, if it was covered by national health insurance, the patient paid approximately 14 USD per month. </w:t>
      </w:r>
    </w:p>
    <w:p>
      <w:pPr>
        <w:snapToGrid w:val="0"/>
        <w:spacing w:line="480" w:lineRule="auto"/>
        <w:rPr>
          <w:lang w:eastAsia="en-US"/>
          <w:rFonts w:ascii="Arial" w:eastAsia="바탕" w:hAnsi="Arial" w:cs="Arial"/>
          <w:b/>
          <w:bCs/>
          <w:i/>
          <w:iCs/>
          <w:sz w:val="28"/>
          <w:szCs w:val="28"/>
          <w:kern w:val="0"/>
        </w:rPr>
      </w:pPr>
    </w:p>
    <w:p>
      <w:pPr>
        <w:snapToGrid w:val="0"/>
        <w:spacing w:line="480" w:lineRule="auto"/>
        <w:rPr>
          <w:rFonts w:ascii="Times New Roman" w:hAnsi="Times New Roman" w:cs="Times New Roman"/>
          <w:b/>
          <w:bCs/>
          <w:sz w:val="22"/>
        </w:rPr>
      </w:pPr>
      <w:r>
        <w:rPr>
          <w:rFonts w:ascii="Times New Roman" w:hAnsi="Times New Roman" w:cs="Times New Roman"/>
          <w:b/>
          <w:bCs/>
          <w:sz w:val="22"/>
        </w:rPr>
        <w:t>Self-report questionnaires</w:t>
      </w:r>
    </w:p>
    <w:p>
      <w:pPr>
        <w:snapToGrid w:val="0"/>
        <w:spacing w:line="480" w:lineRule="auto"/>
        <w:rPr>
          <w:rFonts w:ascii="Times New Roman" w:hAnsi="Times New Roman" w:cs="Times New Roman"/>
          <w:sz w:val="22"/>
        </w:rPr>
      </w:pPr>
      <w:r>
        <w:rPr>
          <w:rFonts w:ascii="Times New Roman" w:hAnsi="Times New Roman" w:cs="Times New Roman"/>
          <w:sz w:val="22"/>
        </w:rPr>
        <w:t xml:space="preserve">All participants completed self-report questionnaires during the time of PSG. The questionnaire comprised questions about demographic information (marital status, education, occupation status, etc.) and medical illness (especially hypertension, ischemic heart disease, and cerebrovascular disease), </w:t>
      </w:r>
      <w:r>
        <w:rPr>
          <w:rFonts w:ascii="Times New Roman" w:hAnsi="Times New Roman" w:cs="Times New Roman"/>
          <w:sz w:val="22"/>
        </w:rPr>
        <w:t>and also</w:t>
      </w:r>
      <w:r>
        <w:rPr>
          <w:rFonts w:ascii="Times New Roman" w:hAnsi="Times New Roman" w:cs="Times New Roman"/>
          <w:sz w:val="22"/>
        </w:rPr>
        <w:t xml:space="preserve"> included clinical questionnaires regarding sleep and depression.</w:t>
      </w:r>
    </w:p>
    <w:p>
      <w:pPr>
        <w:snapToGrid w:val="0"/>
        <w:spacing w:line="480" w:lineRule="auto"/>
        <w:rPr>
          <w:rFonts w:ascii="Times New Roman" w:hAnsi="Times New Roman" w:cs="Times New Roman"/>
          <w:sz w:val="22"/>
        </w:rPr>
      </w:pPr>
      <w:r>
        <w:rPr>
          <w:rFonts w:ascii="Times New Roman" w:hAnsi="Times New Roman" w:cs="Times New Roman"/>
          <w:sz w:val="22"/>
        </w:rPr>
        <w:t>The participants’ sleep quality and insomnia severity were evaluated using the Pittsburgh Sleep Quality Index (PSQI) and Insomnia Severity Index (ISI).</w:t>
      </w:r>
      <w:r>
        <w:rPr>
          <w:rFonts w:ascii="Times New Roman" w:hAnsi="Times New Roman" w:cs="Times New Roman"/>
          <w:sz w:val="22"/>
        </w:rPr>
        <w:fldChar w:fldCharType="begin"/>
      </w:r>
      <w:r>
        <w:rPr>
          <w:rFonts w:ascii="Times New Roman" w:hAnsi="Times New Roman" w:cs="Times New Roman"/>
          <w:sz w:val="22"/>
        </w:rPr>
        <w:instrText xml:space="preserve"> ADDIN EN.CITE &lt;EndNote&gt;&lt;Cite&gt;&lt;Author&gt;Sohn&lt;/Author&gt;&lt;Year&gt;2012&lt;/Year&gt;&lt;RecNum&gt;20&lt;/RecNum&gt;&lt;DisplayText&gt;&lt;style face="superscript" font="Courier New"&gt;20,21&lt;/style&gt;&lt;/DisplayText&gt;&lt;record&gt;&lt;rec-number&gt;20&lt;/rec-number&gt;&lt;foreign-keys&gt;&lt;key app="EN" db-id="eswvavzsosvad8efwtn5d0vq5zxtxrxe59xd" timestamp="1673893037"&gt;20&lt;/key&gt;&lt;/foreign-keys&gt;&lt;ref-type name="Journal Article"&gt;17&lt;/ref-type&gt;&lt;contributors&gt;&lt;authors&gt;&lt;author&gt;Sohn, Seung Il&lt;/author&gt;&lt;author&gt;Kim, Do Hyung&lt;/author&gt;&lt;author&gt;Lee, Mi Young&lt;/author&gt;&lt;author&gt;Cho, Yong Won&lt;/author&gt;&lt;/authors&gt;&lt;/contributors&gt;&lt;titles&gt;&lt;title&gt;The reliability and validity of the Korean version of the Pittsburgh Sleep Quality Index&lt;/title&gt;&lt;secondary-title&gt;Sleep and Breathing&lt;/secondary-title&gt;&lt;/titles&gt;&lt;periodical&gt;&lt;full-title&gt;Sleep and Breathing&lt;/full-title&gt;&lt;/periodical&gt;&lt;pages&gt;803-812&lt;/pages&gt;&lt;volume&gt;16&lt;/volume&gt;&lt;number&gt;3&lt;/number&gt;&lt;dates&gt;&lt;year&gt;2012&lt;/year&gt;&lt;/dates&gt;&lt;isbn&gt;1522-1709&lt;/isbn&gt;&lt;urls&gt;&lt;/urls&gt;&lt;/record&gt;&lt;/Cite&gt;&lt;Cite&gt;&lt;Author&gt;Cho&lt;/Author&gt;&lt;Year&gt;2014&lt;/Year&gt;&lt;RecNum&gt;21&lt;/RecNum&gt;&lt;record&gt;&lt;rec-number&gt;21&lt;/rec-number&gt;&lt;foreign-keys&gt;&lt;key app="EN" db-id="eswvavzsosvad8efwtn5d0vq5zxtxrxe59xd" timestamp="1673893037"&gt;21&lt;/key&gt;&lt;/foreign-keys&gt;&lt;ref-type name="Journal Article"&gt;17&lt;/ref-type&gt;&lt;contributors&gt;&lt;authors&gt;&lt;author&gt;Cho, Yong Won&lt;/author&gt;&lt;author&gt;Song, Mei Ling&lt;/author&gt;&lt;author&gt;Morin, Charles M&lt;/author&gt;&lt;/authors&gt;&lt;/contributors&gt;&lt;titles&gt;&lt;title&gt;Validation of a Korean version of the insomnia severity index&lt;/title&gt;&lt;secondary-title&gt;Journal of clinical neurology&lt;/secondary-title&gt;&lt;/titles&gt;&lt;periodical&gt;&lt;full-title&gt;Journal of clinical neurology&lt;/full-title&gt;&lt;/periodical&gt;&lt;pages&gt;210-215&lt;/pages&gt;&lt;volume&gt;10&lt;/volume&gt;&lt;number&gt;3&lt;/number&gt;&lt;dates&gt;&lt;year&gt;2014&lt;/year&gt;&lt;/dates&gt;&lt;urls&gt;&lt;/urls&gt;&lt;/record&gt;&lt;/Cite&gt;&lt;/EndNote&gt;</w:instrText>
      </w:r>
      <w:r>
        <w:rPr>
          <w:rFonts w:ascii="Times New Roman" w:hAnsi="Times New Roman" w:cs="Times New Roman"/>
          <w:sz w:val="22"/>
        </w:rPr>
        <w:fldChar w:fldCharType="separate"/>
      </w:r>
      <w:r>
        <w:fldChar w:fldCharType="begin"/>
      </w:r>
      <w:r>
        <w:instrText xml:space="preserve"> HYPERLINK \l "_ENREF_20"\o "Sohn, 2012 #20"</w:instrText>
      </w:r>
      <w:r>
        <w:fldChar w:fldCharType="separate"/>
      </w:r>
      <w:r>
        <w:rPr>
          <w:rFonts w:ascii="Courier New" w:hAnsi="Courier New" w:cs="Courier New"/>
          <w:noProof/>
          <w:sz w:val="22"/>
          <w:vertAlign w:val="superscript"/>
        </w:rPr>
        <w:t>20</w:t>
      </w:r>
      <w:r>
        <w:fldChar w:fldCharType="end"/>
      </w:r>
      <w:r>
        <w:rPr>
          <w:rFonts w:ascii="Courier New" w:hAnsi="Courier New" w:cs="Courier New"/>
          <w:noProof/>
          <w:sz w:val="22"/>
          <w:vertAlign w:val="superscript"/>
        </w:rPr>
        <w:t>,</w:t>
      </w:r>
      <w:r>
        <w:fldChar w:fldCharType="begin"/>
      </w:r>
      <w:r>
        <w:instrText xml:space="preserve"> HYPERLINK \l "_ENREF_21"\o "Cho, 2014 #21"</w:instrText>
      </w:r>
      <w:r>
        <w:fldChar w:fldCharType="separate"/>
      </w:r>
      <w:r>
        <w:rPr>
          <w:rFonts w:ascii="Courier New" w:hAnsi="Courier New" w:cs="Courier New"/>
          <w:noProof/>
          <w:sz w:val="22"/>
          <w:vertAlign w:val="superscript"/>
        </w:rPr>
        <w:t>21</w:t>
      </w:r>
      <w:r>
        <w:fldChar w:fldCharType="end"/>
      </w:r>
      <w:r>
        <w:rPr>
          <w:rFonts w:ascii="Times New Roman" w:hAnsi="Times New Roman" w:cs="Times New Roman"/>
          <w:sz w:val="22"/>
        </w:rPr>
        <w:fldChar w:fldCharType="end"/>
      </w:r>
      <w:r>
        <w:rPr>
          <w:rFonts w:ascii="Times New Roman" w:hAnsi="Times New Roman" w:cs="Times New Roman"/>
          <w:sz w:val="22"/>
        </w:rPr>
        <w:t xml:space="preserve"> The PSQI is a self-report questionnaire designed to evaluate subjective sleep quality and calculates the total score, sleep efficiency, and total sleep time.</w:t>
      </w:r>
      <w:r>
        <w:fldChar w:fldCharType="begin"/>
      </w:r>
      <w:r>
        <w:instrText xml:space="preserve"> HYPERLINK \l "_ENREF_20"\o "Sohn, 2012 #20"</w:instrText>
      </w:r>
      <w:r>
        <w:fldChar w:fldCharType="separate"/>
      </w:r>
      <w:r>
        <w:rPr>
          <w:rFonts w:ascii="Times New Roman" w:hAnsi="Times New Roman" w:cs="Times New Roman"/>
          <w:sz w:val="22"/>
        </w:rPr>
        <w:fldChar w:fldCharType="begin"/>
      </w:r>
      <w:r>
        <w:rPr>
          <w:rFonts w:ascii="Times New Roman" w:hAnsi="Times New Roman" w:cs="Times New Roman"/>
          <w:sz w:val="22"/>
        </w:rPr>
        <w:instrText xml:space="preserve"> ADDIN EN.CITE &lt;EndNote&gt;&lt;Cite&gt;&lt;Author&gt;Sohn&lt;/Author&gt;&lt;Year&gt;2012&lt;/Year&gt;&lt;RecNum&gt;20&lt;/RecNum&gt;&lt;DisplayText&gt;&lt;style face="superscript" font="Courier New"&gt;20&lt;/style&gt;&lt;/DisplayText&gt;&lt;record&gt;&lt;rec-number&gt;20&lt;/rec-number&gt;&lt;foreign-keys&gt;&lt;key app="EN" db-id="eswvavzsosvad8efwtn5d0vq5zxtxrxe59xd" timestamp="1673893037"&gt;20&lt;/key&gt;&lt;/foreign-keys&gt;&lt;ref-type name="Journal Article"&gt;17&lt;/ref-type&gt;&lt;contributors&gt;&lt;authors&gt;&lt;author&gt;Sohn, Seung Il&lt;/author&gt;&lt;author&gt;Kim, Do Hyung&lt;/author&gt;&lt;author&gt;Lee, Mi Young&lt;/author&gt;&lt;author&gt;Cho, Yong Won&lt;/author&gt;&lt;/authors&gt;&lt;/contributors&gt;&lt;titles&gt;&lt;title&gt;The reliability and validity of the Korean version of the Pittsburgh Sleep Quality Index&lt;/title&gt;&lt;secondary-title&gt;Sleep and Breathing&lt;/secondary-title&gt;&lt;/titles&gt;&lt;periodical&gt;&lt;full-title&gt;Sleep and Breathing&lt;/full-title&gt;&lt;/periodical&gt;&lt;pages&gt;803-812&lt;/pages&gt;&lt;volume&gt;16&lt;/volume&gt;&lt;number&gt;3&lt;/number&gt;&lt;dates&gt;&lt;year&gt;2012&lt;/year&gt;&lt;/dates&gt;&lt;isbn&gt;1522-1709&lt;/isbn&gt;&lt;urls&gt;&lt;/urls&gt;&lt;/record&gt;&lt;/Cite&gt;&lt;/EndNote&gt;</w:instrText>
      </w:r>
      <w:r>
        <w:rPr>
          <w:rFonts w:ascii="Times New Roman" w:hAnsi="Times New Roman" w:cs="Times New Roman"/>
          <w:sz w:val="22"/>
        </w:rPr>
        <w:fldChar w:fldCharType="separate"/>
      </w:r>
      <w:r>
        <w:rPr>
          <w:rFonts w:ascii="Courier New" w:hAnsi="Courier New" w:cs="Courier New"/>
          <w:noProof/>
          <w:sz w:val="22"/>
          <w:vertAlign w:val="superscript"/>
        </w:rPr>
        <w:t>20</w:t>
      </w:r>
      <w:r>
        <w:rPr>
          <w:rFonts w:ascii="Times New Roman" w:hAnsi="Times New Roman" w:cs="Times New Roman"/>
          <w:sz w:val="22"/>
        </w:rPr>
        <w:fldChar w:fldCharType="end"/>
      </w:r>
      <w:r>
        <w:fldChar w:fldCharType="end"/>
      </w:r>
      <w:r>
        <w:rPr>
          <w:rFonts w:ascii="Times New Roman" w:hAnsi="Times New Roman" w:cs="Times New Roman"/>
          <w:sz w:val="22"/>
        </w:rPr>
        <w:t xml:space="preserve"> The ISI is a 7-item scale measuring the severity of insomnia, with higher scores indicating more severe insomnia.</w:t>
      </w:r>
      <w:r>
        <w:fldChar w:fldCharType="begin"/>
      </w:r>
      <w:r>
        <w:instrText xml:space="preserve"> HYPERLINK \l "_ENREF_21"\o "Cho, 2014 #21"</w:instrText>
      </w:r>
      <w:r>
        <w:fldChar w:fldCharType="separate"/>
      </w:r>
      <w:r>
        <w:rPr>
          <w:rFonts w:ascii="Times New Roman" w:hAnsi="Times New Roman" w:cs="Times New Roman"/>
          <w:sz w:val="22"/>
        </w:rPr>
        <w:fldChar w:fldCharType="begin"/>
      </w:r>
      <w:r>
        <w:rPr>
          <w:rFonts w:ascii="Times New Roman" w:hAnsi="Times New Roman" w:cs="Times New Roman"/>
          <w:sz w:val="22"/>
        </w:rPr>
        <w:instrText xml:space="preserve"> ADDIN EN.CITE &lt;EndNote&gt;&lt;Cite&gt;&lt;Author&gt;Cho&lt;/Author&gt;&lt;Year&gt;2014&lt;/Year&gt;&lt;RecNum&gt;21&lt;/RecNum&gt;&lt;DisplayText&gt;&lt;style face="superscript" font="Courier New"&gt;21&lt;/style&gt;&lt;/DisplayText&gt;&lt;record&gt;&lt;rec-number&gt;21&lt;/rec-number&gt;&lt;foreign-keys&gt;&lt;key app="EN" db-id="eswvavzsosvad8efwtn5d0vq5zxtxrxe59xd" timestamp="1673893037"&gt;21&lt;/key&gt;&lt;/foreign-keys&gt;&lt;ref-type name="Journal Article"&gt;17&lt;/ref-type&gt;&lt;contributors&gt;&lt;authors&gt;&lt;author&gt;Cho, Yong Won&lt;/author&gt;&lt;author&gt;Song, Mei Ling&lt;/author&gt;&lt;author&gt;Morin, Charles M&lt;/author&gt;&lt;/authors&gt;&lt;/contributors&gt;&lt;titles&gt;&lt;title&gt;Validation of a Korean version of the insomnia severity index&lt;/title&gt;&lt;secondary-title&gt;Journal of clinical neurology&lt;/secondary-title&gt;&lt;/titles&gt;&lt;periodical&gt;&lt;full-title&gt;Journal of clinical neurology&lt;/full-title&gt;&lt;/periodical&gt;&lt;pages&gt;210-215&lt;/pages&gt;&lt;volume&gt;10&lt;/volume&gt;&lt;number&gt;3&lt;/number&gt;&lt;dates&gt;&lt;year&gt;2014&lt;/year&gt;&lt;/dates&gt;&lt;urls&gt;&lt;/urls&gt;&lt;/record&gt;&lt;/Cite&gt;&lt;/EndNote&gt;</w:instrText>
      </w:r>
      <w:r>
        <w:rPr>
          <w:rFonts w:ascii="Times New Roman" w:hAnsi="Times New Roman" w:cs="Times New Roman"/>
          <w:sz w:val="22"/>
        </w:rPr>
        <w:fldChar w:fldCharType="separate"/>
      </w:r>
      <w:r>
        <w:rPr>
          <w:rFonts w:ascii="Courier New" w:hAnsi="Courier New" w:cs="Courier New"/>
          <w:noProof/>
          <w:sz w:val="22"/>
          <w:vertAlign w:val="superscript"/>
        </w:rPr>
        <w:t>21</w:t>
      </w:r>
      <w:r>
        <w:rPr>
          <w:rFonts w:ascii="Times New Roman" w:hAnsi="Times New Roman" w:cs="Times New Roman"/>
          <w:sz w:val="22"/>
        </w:rPr>
        <w:fldChar w:fldCharType="end"/>
      </w:r>
      <w:r>
        <w:fldChar w:fldCharType="end"/>
      </w:r>
      <w:r>
        <w:rPr>
          <w:rFonts w:ascii="Times New Roman" w:hAnsi="Times New Roman" w:cs="Times New Roman"/>
          <w:sz w:val="22"/>
        </w:rPr>
        <w:t xml:space="preserve"> Daytime sleepiness was evaluated using the Epworth Sleepiness Scale (ESS).</w:t>
      </w:r>
      <w:r>
        <w:fldChar w:fldCharType="begin"/>
      </w:r>
      <w:r>
        <w:instrText xml:space="preserve"> HYPERLINK \l "_ENREF_22"\o "Cho, 2011 #22"</w:instrText>
      </w:r>
      <w:r>
        <w:fldChar w:fldCharType="separate"/>
      </w:r>
      <w:r>
        <w:rPr>
          <w:rFonts w:ascii="Times New Roman" w:hAnsi="Times New Roman" w:cs="Times New Roman"/>
          <w:sz w:val="22"/>
        </w:rPr>
        <w:fldChar w:fldCharType="begin"/>
      </w:r>
      <w:r>
        <w:rPr>
          <w:rFonts w:ascii="Times New Roman" w:hAnsi="Times New Roman" w:cs="Times New Roman"/>
          <w:sz w:val="22"/>
        </w:rPr>
        <w:instrText xml:space="preserve"> ADDIN EN.CITE &lt;EndNote&gt;&lt;Cite&gt;&lt;Author&gt;Cho&lt;/Author&gt;&lt;Year&gt;2011&lt;/Year&gt;&lt;RecNum&gt;22&lt;/RecNum&gt;&lt;DisplayText&gt;&lt;style face="superscript" font="Courier New"&gt;22&lt;/style&gt;&lt;/DisplayText&gt;&lt;record&gt;&lt;rec-number&gt;22&lt;/rec-number&gt;&lt;foreign-keys&gt;&lt;key app="EN" db-id="eswvavzsosvad8efwtn5d0vq5zxtxrxe59xd" timestamp="1673893037"&gt;22&lt;/key&gt;&lt;/foreign-keys&gt;&lt;ref-type name="Journal Article"&gt;17&lt;/ref-type&gt;&lt;contributors&gt;&lt;authors&gt;&lt;author&gt;Cho, Yong Won&lt;/author&gt;&lt;author&gt;Lee, Joo Hwa&lt;/author&gt;&lt;author&gt;Son, Hyo Kyung&lt;/author&gt;&lt;author&gt;Lee, Seung Hoon&lt;/author&gt;&lt;author&gt;Shin, Chol&lt;/author&gt;&lt;author&gt;Johns, Murray W&lt;/author&gt;&lt;/authors&gt;&lt;/contributors&gt;&lt;titles&gt;&lt;title&gt;The reliability and validity of the Korean version of the Epworth sleepiness scale&lt;/title&gt;&lt;secondary-title&gt;Sleep and Breathing&lt;/secondary-title&gt;&lt;/titles&gt;&lt;periodical&gt;&lt;full-title&gt;Sleep and Breathing&lt;/full-title&gt;&lt;/periodical&gt;&lt;pages&gt;377-384&lt;/pages&gt;&lt;volume&gt;15&lt;/volume&gt;&lt;number&gt;3&lt;/number&gt;&lt;dates&gt;&lt;year&gt;2011&lt;/year&gt;&lt;/dates&gt;&lt;isbn&gt;1522-1709&lt;/isbn&gt;&lt;urls&gt;&lt;/urls&gt;&lt;/record&gt;&lt;/Cite&gt;&lt;/EndNote&gt;</w:instrText>
      </w:r>
      <w:r>
        <w:rPr>
          <w:rFonts w:ascii="Times New Roman" w:hAnsi="Times New Roman" w:cs="Times New Roman"/>
          <w:sz w:val="22"/>
        </w:rPr>
        <w:fldChar w:fldCharType="separate"/>
      </w:r>
      <w:r>
        <w:rPr>
          <w:rFonts w:ascii="Courier New" w:hAnsi="Courier New" w:cs="Courier New"/>
          <w:noProof/>
          <w:sz w:val="22"/>
          <w:vertAlign w:val="superscript"/>
        </w:rPr>
        <w:t>22</w:t>
      </w:r>
      <w:r>
        <w:rPr>
          <w:rFonts w:ascii="Times New Roman" w:hAnsi="Times New Roman" w:cs="Times New Roman"/>
          <w:sz w:val="22"/>
        </w:rPr>
        <w:fldChar w:fldCharType="end"/>
      </w:r>
      <w:r>
        <w:fldChar w:fldCharType="end"/>
      </w:r>
      <w:r>
        <w:rPr>
          <w:rFonts w:ascii="Times New Roman" w:hAnsi="Times New Roman" w:cs="Times New Roman"/>
          <w:sz w:val="22"/>
        </w:rPr>
        <w:t xml:space="preserve"> The severity of depression was evaluated using the Beck Depression Inventory (BDI).</w:t>
      </w:r>
      <w:r>
        <w:fldChar w:fldCharType="begin"/>
      </w:r>
      <w:r>
        <w:instrText xml:space="preserve"> HYPERLINK \l "_ENREF_23"\o "Rhee, 1995 #23"</w:instrText>
      </w:r>
      <w:r>
        <w:fldChar w:fldCharType="separate"/>
      </w:r>
      <w:r>
        <w:rPr>
          <w:rFonts w:ascii="Times New Roman" w:hAnsi="Times New Roman" w:cs="Times New Roman"/>
          <w:sz w:val="22"/>
        </w:rPr>
        <w:fldChar w:fldCharType="begin"/>
      </w:r>
      <w:r>
        <w:rPr>
          <w:rFonts w:ascii="Times New Roman" w:hAnsi="Times New Roman" w:cs="Times New Roman"/>
          <w:sz w:val="22"/>
        </w:rPr>
        <w:instrText xml:space="preserve"> ADDIN EN.CITE &lt;EndNote&gt;&lt;Cite&gt;&lt;Author&gt;Rhee&lt;/Author&gt;&lt;Year&gt;1995&lt;/Year&gt;&lt;RecNum&gt;23&lt;/RecNum&gt;&lt;DisplayText&gt;&lt;style face="superscript" font="Courier New"&gt;23&lt;/style&gt;&lt;/DisplayText&gt;&lt;record&gt;&lt;rec-number&gt;23&lt;/rec-number&gt;&lt;foreign-keys&gt;&lt;key app="EN" db-id="eswvavzsosvad8efwtn5d0vq5zxtxrxe59xd" timestamp="1673893037"&gt;23&lt;/key&gt;&lt;/foreign-keys&gt;&lt;ref-type name="Journal Article"&gt;17&lt;/ref-type&gt;&lt;contributors&gt;&lt;authors&gt;&lt;author&gt;Rhee, MK&lt;/author&gt;&lt;author&gt;Lee, YH&lt;/author&gt;&lt;author&gt;Park, SH&lt;/author&gt;&lt;/authors&gt;&lt;/contributors&gt;&lt;titles&gt;&lt;title&gt;A standardization study of Beck Depression Inventory I; Korean version (K-BDI): reliability and factor analysis&lt;/title&gt;&lt;secondary-title&gt;Korean J Psychopathol&lt;/secondary-title&gt;&lt;/titles&gt;&lt;periodical&gt;&lt;full-title&gt;Korean J Psychopathol&lt;/full-title&gt;&lt;/periodical&gt;&lt;pages&gt;77-95&lt;/pages&gt;&lt;volume&gt;4&lt;/volume&gt;&lt;dates&gt;&lt;year&gt;1995&lt;/year&gt;&lt;/dates&gt;&lt;urls&gt;&lt;/urls&gt;&lt;/record&gt;&lt;/Cite&gt;&lt;/EndNote&gt;</w:instrText>
      </w:r>
      <w:r>
        <w:rPr>
          <w:rFonts w:ascii="Times New Roman" w:hAnsi="Times New Roman" w:cs="Times New Roman"/>
          <w:sz w:val="22"/>
        </w:rPr>
        <w:fldChar w:fldCharType="separate"/>
      </w:r>
      <w:r>
        <w:rPr>
          <w:rFonts w:ascii="Courier New" w:hAnsi="Courier New" w:cs="Courier New"/>
          <w:noProof/>
          <w:sz w:val="22"/>
          <w:vertAlign w:val="superscript"/>
        </w:rPr>
        <w:t>23</w:t>
      </w:r>
      <w:r>
        <w:rPr>
          <w:rFonts w:ascii="Times New Roman" w:hAnsi="Times New Roman" w:cs="Times New Roman"/>
          <w:sz w:val="22"/>
        </w:rPr>
        <w:fldChar w:fldCharType="end"/>
      </w:r>
      <w:r>
        <w:fldChar w:fldCharType="end"/>
      </w:r>
      <w:r>
        <w:rPr>
          <w:rFonts w:ascii="Times New Roman" w:hAnsi="Times New Roman" w:cs="Times New Roman"/>
          <w:sz w:val="22"/>
        </w:rPr>
        <w:t xml:space="preserve"> </w:t>
      </w:r>
    </w:p>
    <w:p>
      <w:pPr>
        <w:snapToGrid w:val="0"/>
        <w:spacing w:line="480" w:lineRule="auto"/>
        <w:rPr>
          <w:rFonts w:ascii="Times New Roman" w:hAnsi="Times New Roman" w:cs="Times New Roman"/>
          <w:b/>
          <w:bCs/>
          <w:sz w:val="22"/>
        </w:rPr>
      </w:pPr>
    </w:p>
    <w:p>
      <w:pPr>
        <w:snapToGrid w:val="0"/>
        <w:spacing w:line="480" w:lineRule="auto"/>
        <w:rPr>
          <w:rFonts w:ascii="Times New Roman" w:hAnsi="Times New Roman" w:cs="Times New Roman"/>
          <w:b/>
          <w:bCs/>
          <w:sz w:val="22"/>
        </w:rPr>
      </w:pPr>
      <w:r>
        <w:rPr>
          <w:rFonts w:ascii="Times New Roman" w:hAnsi="Times New Roman" w:cs="Times New Roman"/>
          <w:b/>
          <w:bCs/>
          <w:sz w:val="22"/>
        </w:rPr>
        <w:t>Polysomnography</w:t>
      </w:r>
    </w:p>
    <w:p>
      <w:pPr>
        <w:snapToGrid w:val="0"/>
        <w:spacing w:line="480" w:lineRule="auto"/>
        <w:rPr>
          <w:rFonts w:ascii="Times New Roman" w:hAnsi="Times New Roman" w:cs="Times New Roman"/>
          <w:sz w:val="22"/>
        </w:rPr>
      </w:pPr>
      <w:r>
        <w:rPr>
          <w:rFonts w:ascii="Times New Roman" w:hAnsi="Times New Roman" w:cs="Times New Roman"/>
          <w:sz w:val="22"/>
        </w:rPr>
        <w:t>All participants underwent in-laboratory nocturnal PSG with standard recordings in accordance with the recommendations of the American Academy of Sleep Medicine (AASM).</w:t>
      </w:r>
      <w:r>
        <w:fldChar w:fldCharType="begin"/>
      </w:r>
      <w:r>
        <w:instrText xml:space="preserve"> HYPERLINK \l "_ENREF_24"\o "Iber, 2007 #24"</w:instrText>
      </w:r>
      <w:r>
        <w:fldChar w:fldCharType="separate"/>
      </w:r>
      <w:r>
        <w:rPr>
          <w:rFonts w:ascii="Times New Roman" w:hAnsi="Times New Roman" w:cs="Times New Roman"/>
          <w:sz w:val="22"/>
        </w:rPr>
        <w:fldChar w:fldCharType="begin"/>
      </w:r>
      <w:r>
        <w:rPr>
          <w:rFonts w:ascii="Times New Roman" w:hAnsi="Times New Roman" w:cs="Times New Roman"/>
          <w:sz w:val="22"/>
        </w:rPr>
        <w:instrText xml:space="preserve"> ADDIN EN.CITE &lt;EndNote&gt;&lt;Cite&gt;&lt;Author&gt;Iber&lt;/Author&gt;&lt;Year&gt;2007&lt;/Year&gt;&lt;RecNum&gt;24&lt;/RecNum&gt;&lt;DisplayText&gt;&lt;style face="superscript" font="Courier New"&gt;24&lt;/style&gt;&lt;/DisplayText&gt;&lt;record&gt;&lt;rec-number&gt;24&lt;/rec-number&gt;&lt;foreign-keys&gt;&lt;key app="EN" db-id="eswvavzsosvad8efwtn5d0vq5zxtxrxe59xd" timestamp="1673893037"&gt;24&lt;/key&gt;&lt;/foreign-keys&gt;&lt;ref-type name="Book"&gt;6&lt;/ref-type&gt;&lt;contributors&gt;&lt;authors&gt;&lt;author&gt;Iber, Conrad&lt;/author&gt;&lt;author&gt;American Academy of Sleep Medicine.,&lt;/author&gt;&lt;/authors&gt;&lt;/contributors&gt;&lt;titles&gt;&lt;title&gt;The AASM manual for the scoring of sleep and associated events : rules, terminology and technical specifications&lt;/title&gt;&lt;/titles&gt;&lt;pages&gt;59 p.&lt;/pages&gt;&lt;keywords&gt;&lt;keyword&gt;Sleep disorders Handbooks, manuals, etc.&lt;/keyword&gt;&lt;/keywords&gt;&lt;dates&gt;&lt;year&gt;2007&lt;/year&gt;&lt;/dates&gt;&lt;pub-location&gt;Westchester, IL&lt;/pub-location&gt;&lt;publisher&gt;American Academy of Sleep Medicine&lt;/publisher&gt;&lt;accession-num&gt;15011652&lt;/accession-num&gt;&lt;call-num&gt;Jefferson or Adams Building Reading Rooms RC547; .I24 2007&lt;/call-num&gt;&lt;urls&gt;&lt;/urls&gt;&lt;/record&gt;&lt;/Cite&gt;&lt;/EndNote&gt;</w:instrText>
      </w:r>
      <w:r>
        <w:rPr>
          <w:rFonts w:ascii="Times New Roman" w:hAnsi="Times New Roman" w:cs="Times New Roman"/>
          <w:sz w:val="22"/>
        </w:rPr>
        <w:fldChar w:fldCharType="separate"/>
      </w:r>
      <w:r>
        <w:rPr>
          <w:rFonts w:ascii="Courier New" w:hAnsi="Courier New" w:cs="Courier New"/>
          <w:noProof/>
          <w:sz w:val="22"/>
          <w:vertAlign w:val="superscript"/>
        </w:rPr>
        <w:t>24</w:t>
      </w:r>
      <w:r>
        <w:rPr>
          <w:rFonts w:ascii="Times New Roman" w:hAnsi="Times New Roman" w:cs="Times New Roman"/>
          <w:sz w:val="22"/>
        </w:rPr>
        <w:fldChar w:fldCharType="end"/>
      </w:r>
      <w:r>
        <w:fldChar w:fldCharType="end"/>
      </w:r>
      <w:r>
        <w:rPr>
          <w:rFonts w:ascii="Times New Roman" w:hAnsi="Times New Roman" w:cs="Times New Roman"/>
          <w:sz w:val="22"/>
        </w:rPr>
        <w:t xml:space="preserve"> During PSG, weight, height, and neck circumference were measured. The channels monitored during PSG included six electroencephalography leads (F3, F4, C3, C4, O1, and O2), three electromyography channels (chin and both anterior tibialis muscles), two electrooculogram channels (E1-M2 and E2-M2), and one electrocardiography channel. Respiration, chest and abdominal movements, and oxygen desaturation were monitored. The recorded PSG data were analyzed and interpreted according to the manufacturer’s instructions for the COMET systems (Grass-Telefactor Corporation, West Warwick, RI, USA). </w:t>
      </w:r>
    </w:p>
    <w:p>
      <w:pPr>
        <w:snapToGrid w:val="0"/>
        <w:spacing w:line="480" w:lineRule="auto"/>
        <w:rPr>
          <w:rFonts w:ascii="Times New Roman" w:hAnsi="Times New Roman" w:cs="Times New Roman"/>
          <w:sz w:val="22"/>
        </w:rPr>
      </w:pPr>
      <w:r>
        <w:rPr>
          <w:rFonts w:ascii="Times New Roman" w:hAnsi="Times New Roman" w:cs="Times New Roman"/>
          <w:sz w:val="22"/>
        </w:rPr>
        <w:t xml:space="preserve">The PSG data were scored based on the criteria in the AASM </w:t>
      </w:r>
      <w:r>
        <w:fldChar w:fldCharType="begin"/>
      </w:r>
      <w:r>
        <w:instrText xml:space="preserve"> HYPERLINK \l "_ENREF_26"\o "Medicine, 2007 #41"</w:instrText>
      </w:r>
      <w:r>
        <w:fldChar w:fldCharType="separate"/>
      </w:r>
      <w:r>
        <w:fldChar w:fldCharType="end"/>
      </w:r>
      <w:r>
        <w:rPr>
          <w:rFonts w:ascii="Times New Roman" w:hAnsi="Times New Roman" w:cs="Times New Roman"/>
          <w:sz w:val="22"/>
        </w:rPr>
        <w:t>manual.</w:t>
      </w:r>
      <w:r>
        <w:fldChar w:fldCharType="begin"/>
      </w:r>
      <w:r>
        <w:instrText xml:space="preserve"> HYPERLINK \l "_ENREF_24"\o "Iber, 2007 #24"</w:instrText>
      </w:r>
      <w:r>
        <w:fldChar w:fldCharType="separate"/>
      </w:r>
      <w:r>
        <w:rPr>
          <w:rFonts w:ascii="Times New Roman" w:hAnsi="Times New Roman" w:cs="Times New Roman"/>
          <w:sz w:val="22"/>
        </w:rPr>
        <w:fldChar w:fldCharType="begin"/>
      </w:r>
      <w:r>
        <w:rPr>
          <w:rFonts w:ascii="Times New Roman" w:hAnsi="Times New Roman" w:cs="Times New Roman"/>
          <w:sz w:val="22"/>
        </w:rPr>
        <w:instrText xml:space="preserve"> ADDIN EN.CITE &lt;EndNote&gt;&lt;Cite&gt;&lt;Author&gt;Iber&lt;/Author&gt;&lt;Year&gt;2007&lt;/Year&gt;&lt;RecNum&gt;24&lt;/RecNum&gt;&lt;DisplayText&gt;&lt;style face="superscript" font="Courier New"&gt;24&lt;/style&gt;&lt;/DisplayText&gt;&lt;record&gt;&lt;rec-number&gt;24&lt;/rec-number&gt;&lt;foreign-keys&gt;&lt;key app="EN" db-id="eswvavzsosvad8efwtn5d0vq5zxtxrxe59xd" timestamp="1673893037"&gt;24&lt;/key&gt;&lt;/foreign-keys&gt;&lt;ref-type name="Book"&gt;6&lt;/ref-type&gt;&lt;contributors&gt;&lt;authors&gt;&lt;author&gt;Iber, Conrad&lt;/author&gt;&lt;author&gt;American Academy of Sleep Medicine.,&lt;/author&gt;&lt;/authors&gt;&lt;/contributors&gt;&lt;titles&gt;&lt;title&gt;The AASM manual for the scoring of sleep and associated events : rules, terminology and technical specifications&lt;/title&gt;&lt;/titles&gt;&lt;pages&gt;59 p.&lt;/pages&gt;&lt;keywords&gt;&lt;keyword&gt;Sleep disorders Handbooks, manuals, etc.&lt;/keyword&gt;&lt;/keywords&gt;&lt;dates&gt;&lt;year&gt;2007&lt;/year&gt;&lt;/dates&gt;&lt;pub-location&gt;Westchester, IL&lt;/pub-location&gt;&lt;publisher&gt;American Academy of Sleep Medicine&lt;/publisher&gt;&lt;accession-num&gt;15011652&lt;/accession-num&gt;&lt;call-num&gt;Jefferson or Adams Building Reading Rooms RC547; .I24 2007&lt;/call-num&gt;&lt;urls&gt;&lt;/urls&gt;&lt;/record&gt;&lt;/Cite&gt;&lt;/EndNote&gt;</w:instrText>
      </w:r>
      <w:r>
        <w:rPr>
          <w:rFonts w:ascii="Times New Roman" w:hAnsi="Times New Roman" w:cs="Times New Roman"/>
          <w:sz w:val="22"/>
        </w:rPr>
        <w:fldChar w:fldCharType="separate"/>
      </w:r>
      <w:r>
        <w:rPr>
          <w:rFonts w:ascii="Courier New" w:hAnsi="Courier New" w:cs="Courier New"/>
          <w:noProof/>
          <w:sz w:val="22"/>
          <w:vertAlign w:val="superscript"/>
        </w:rPr>
        <w:t>24</w:t>
      </w:r>
      <w:r>
        <w:rPr>
          <w:rFonts w:ascii="Times New Roman" w:hAnsi="Times New Roman" w:cs="Times New Roman"/>
          <w:sz w:val="22"/>
        </w:rPr>
        <w:fldChar w:fldCharType="end"/>
      </w:r>
      <w:r>
        <w:fldChar w:fldCharType="end"/>
      </w:r>
      <w:r>
        <w:rPr>
          <w:rFonts w:ascii="Times New Roman" w:hAnsi="Times New Roman" w:cs="Times New Roman"/>
          <w:sz w:val="22"/>
        </w:rPr>
        <w:t xml:space="preserve"> The PSG results were confirmed by sleep-specialist medical doctors. Among the PSG parameters, AHI, O</w:t>
      </w:r>
      <w:r>
        <w:rPr>
          <w:rFonts w:ascii="Times New Roman" w:hAnsi="Times New Roman" w:cs="Times New Roman"/>
          <w:sz w:val="22"/>
          <w:vertAlign w:val="subscript"/>
        </w:rPr>
        <w:t xml:space="preserve">2 </w:t>
      </w:r>
      <w:r>
        <w:rPr>
          <w:rFonts w:ascii="Times New Roman" w:hAnsi="Times New Roman" w:cs="Times New Roman"/>
          <w:sz w:val="22"/>
        </w:rPr>
        <w:t xml:space="preserve">saturation nadir, total sleep time, sleep efficiency, wake after sleep onset, sleep onset latency, REM sleep latency, total arousal index, and sleep stage (stages N1, N2, N3, and R) were included in statistical analysis. The loudness of snoring </w:t>
      </w:r>
      <w:r>
        <w:rPr>
          <w:rFonts w:ascii="Times New Roman" w:hAnsi="Times New Roman" w:cs="Times New Roman"/>
          <w:sz w:val="22"/>
        </w:rPr>
        <w:t>sounds (no snoring, soft snoring, and loud snoring) evaluated by the sleep technician during PSG was also included in the analysis parameters.</w:t>
      </w:r>
    </w:p>
    <w:p>
      <w:pPr>
        <w:snapToGrid w:val="0"/>
        <w:spacing w:line="480" w:lineRule="auto"/>
        <w:rPr>
          <w:rFonts w:ascii="Times New Roman" w:hAnsi="Times New Roman" w:cs="Times New Roman"/>
          <w:b/>
          <w:strike/>
          <w:sz w:val="22"/>
        </w:rPr>
      </w:pPr>
    </w:p>
    <w:p>
      <w:pPr>
        <w:snapToGrid w:val="0"/>
        <w:spacing w:line="480" w:lineRule="auto"/>
        <w:rPr>
          <w:rFonts w:ascii="Times New Roman" w:hAnsi="Times New Roman" w:cs="Times New Roman"/>
          <w:b/>
          <w:sz w:val="22"/>
        </w:rPr>
      </w:pPr>
      <w:r>
        <w:rPr>
          <w:rFonts w:ascii="Times New Roman" w:hAnsi="Times New Roman" w:cs="Times New Roman" w:hint="eastAsia"/>
          <w:b/>
          <w:sz w:val="22"/>
        </w:rPr>
        <w:t>Statistical analysis</w:t>
      </w:r>
    </w:p>
    <w:p>
      <w:pPr>
        <w:snapToGrid w:val="0"/>
        <w:spacing w:line="480" w:lineRule="auto"/>
        <w:rPr>
          <w:rFonts w:ascii="Times New Roman" w:hAnsi="Times New Roman" w:cs="Times New Roman"/>
          <w:sz w:val="22"/>
        </w:rPr>
      </w:pPr>
      <w:r>
        <w:rPr>
          <w:rFonts w:ascii="Times New Roman" w:hAnsi="Times New Roman" w:cs="Times New Roman"/>
          <w:sz w:val="22"/>
        </w:rPr>
        <w:t xml:space="preserve">The demographic data, clinical scales, and PSG results of the two groups were analyzed using independent </w:t>
      </w:r>
      <w:r>
        <w:rPr>
          <w:rFonts w:ascii="Times New Roman" w:hAnsi="Times New Roman" w:cs="Times New Roman"/>
          <w:i/>
          <w:iCs/>
          <w:sz w:val="22"/>
        </w:rPr>
        <w:t>t</w:t>
      </w:r>
      <w:r>
        <w:rPr>
          <w:rFonts w:ascii="Times New Roman" w:hAnsi="Times New Roman" w:cs="Times New Roman"/>
          <w:sz w:val="22"/>
        </w:rPr>
        <w:t xml:space="preserve">-tests for continuous variables and chi-square </w:t>
      </w:r>
      <w:r>
        <w:rPr>
          <w:rFonts w:ascii="Times New Roman" w:hAnsi="Times New Roman" w:cs="Times New Roman"/>
          <w:sz w:val="22"/>
        </w:rPr>
        <w:t>tests for dichotomous variables.</w:t>
      </w:r>
      <w:r>
        <w:rPr>
          <w:rFonts w:ascii="Times New Roman" w:hAnsi="Times New Roman" w:cs="Times New Roman"/>
          <w:sz w:val="22"/>
        </w:rPr>
        <w:t xml:space="preserve"> </w:t>
      </w:r>
      <w:bookmarkStart w:id="2" w:name="_Hlk149501659"/>
      <w:r>
        <w:rPr>
          <w:rFonts w:ascii="Times New Roman" w:hAnsi="Times New Roman" w:cs="Times New Roman"/>
          <w:color w:val="0070C0"/>
          <w:sz w:val="22"/>
          <w:highlight w:val="yellow"/>
        </w:rPr>
        <w:t xml:space="preserve">We further categorized the patients into four groups according to compliance and insurance coverage </w:t>
      </w:r>
      <w:r>
        <w:rPr>
          <w:rFonts w:ascii="Times New Roman" w:hAnsi="Times New Roman" w:cs="Times New Roman"/>
          <w:color w:val="0070C0"/>
          <w:sz w:val="22"/>
          <w:highlight w:val="yellow"/>
        </w:rPr>
        <w:t>status, and</w:t>
      </w:r>
      <w:r>
        <w:rPr>
          <w:rFonts w:ascii="Times New Roman" w:hAnsi="Times New Roman" w:cs="Times New Roman"/>
          <w:color w:val="0070C0"/>
          <w:sz w:val="22"/>
          <w:highlight w:val="yellow"/>
        </w:rPr>
        <w:t xml:space="preserve"> performed a one-way ANOVA. As a post hoc test, Bonferroni's Method was used to compare whether there was a significant difference between two groups in each of the four groups.</w:t>
      </w:r>
      <w:r>
        <w:rPr>
          <w:rFonts w:ascii="Times New Roman" w:hAnsi="Times New Roman" w:cs="Times New Roman"/>
          <w:sz w:val="22"/>
        </w:rPr>
        <w:t xml:space="preserve"> </w:t>
      </w:r>
      <w:bookmarkEnd w:id="2"/>
      <w:r>
        <w:rPr>
          <w:rFonts w:ascii="Times New Roman" w:hAnsi="Times New Roman" w:cs="Times New Roman"/>
          <w:sz w:val="22"/>
        </w:rPr>
        <w:t xml:space="preserve">Logistic regression analyses were performed to identify clinical factors and PSG parameters associated with CPAP compliance. The independent variables were important clinical variables (i.e., AHI) that were expected to affect compliance with CPAP and that had a significance of </w:t>
      </w:r>
      <w:r>
        <w:rPr>
          <w:rFonts w:ascii="Times New Roman" w:eastAsiaTheme="minorHAnsi" w:hAnsi="Times New Roman" w:cs="Times New Roman"/>
          <w:i/>
          <w:sz w:val="22"/>
          <w:kern w:val="0"/>
        </w:rPr>
        <w:t>P</w:t>
      </w:r>
      <w:r>
        <w:rPr>
          <w:rFonts w:ascii="Times New Roman" w:hAnsi="Times New Roman" w:cs="Times New Roman"/>
          <w:sz w:val="22"/>
        </w:rPr>
        <w:t xml:space="preserve"> &lt; 0.1 in the independent </w:t>
      </w:r>
      <w:r>
        <w:rPr>
          <w:rFonts w:ascii="Times New Roman" w:hAnsi="Times New Roman" w:cs="Times New Roman"/>
          <w:i/>
          <w:iCs/>
          <w:sz w:val="22"/>
        </w:rPr>
        <w:t>t</w:t>
      </w:r>
      <w:r>
        <w:rPr>
          <w:rFonts w:ascii="Times New Roman" w:hAnsi="Times New Roman" w:cs="Times New Roman"/>
          <w:sz w:val="22"/>
        </w:rPr>
        <w:t xml:space="preserve">-tests. All statistical analyses were conducted using SPSS (version 23.0, IBM Corp, Armonk, NY) with a cutoff value for significance of </w:t>
      </w:r>
      <w:r>
        <w:rPr>
          <w:rFonts w:ascii="Times New Roman" w:eastAsiaTheme="minorHAnsi" w:hAnsi="Times New Roman" w:cs="Times New Roman"/>
          <w:i/>
          <w:sz w:val="22"/>
          <w:kern w:val="0"/>
        </w:rPr>
        <w:t>P</w:t>
      </w:r>
      <w:r>
        <w:rPr>
          <w:rFonts w:ascii="Times New Roman" w:hAnsi="Times New Roman" w:cs="Times New Roman"/>
          <w:i/>
          <w:sz w:val="22"/>
        </w:rPr>
        <w:t xml:space="preserve"> </w:t>
      </w:r>
      <w:r>
        <w:rPr>
          <w:rFonts w:ascii="Times New Roman" w:hAnsi="Times New Roman" w:cs="Times New Roman"/>
          <w:sz w:val="22"/>
        </w:rPr>
        <w:t>&lt; 0.05 (two-tailed).</w:t>
      </w:r>
    </w:p>
    <w:p>
      <w:pPr>
        <w:snapToGrid w:val="0"/>
        <w:spacing w:line="480" w:lineRule="auto"/>
        <w:rPr>
          <w:rFonts w:ascii="Times New Roman" w:hAnsi="Times New Roman" w:cs="Times New Roman"/>
          <w:b/>
          <w:sz w:val="22"/>
        </w:rPr>
      </w:pPr>
    </w:p>
    <w:p>
      <w:pPr>
        <w:snapToGrid w:val="0"/>
        <w:spacing w:line="480" w:lineRule="auto"/>
        <w:rPr>
          <w:rFonts w:ascii="Times New Roman" w:hAnsi="Times New Roman" w:cs="Times New Roman"/>
          <w:b/>
          <w:sz w:val="22"/>
        </w:rPr>
      </w:pPr>
      <w:r>
        <w:rPr>
          <w:rFonts w:ascii="Times New Roman" w:hAnsi="Times New Roman" w:cs="Times New Roman"/>
          <w:b/>
          <w:sz w:val="22"/>
        </w:rPr>
        <w:t>Ethics statement</w:t>
      </w:r>
    </w:p>
    <w:p>
      <w:pPr>
        <w:snapToGrid w:val="0"/>
        <w:spacing w:line="480" w:lineRule="auto"/>
        <w:rPr>
          <w:rFonts w:ascii="Times New Roman" w:hAnsi="Times New Roman" w:cs="Times New Roman"/>
          <w:sz w:val="22"/>
        </w:rPr>
      </w:pPr>
      <w:r>
        <w:rPr>
          <w:rFonts w:ascii="Times New Roman" w:hAnsi="Times New Roman" w:cs="Times New Roman"/>
          <w:sz w:val="22"/>
        </w:rPr>
        <w:t>The informed consent of the participants was exempted due to the observation nature of the study and the consent waiver was approved via Institutional Review Board of Gil Medical Center (GAIRB2022-103).</w:t>
      </w:r>
    </w:p>
    <w:p>
      <w:pPr>
        <w:jc w:val="left"/>
        <w:spacing w:line="480" w:lineRule="auto"/>
        <w:rPr>
          <w:rFonts w:ascii="Times New Roman" w:eastAsiaTheme="minorHAnsi" w:hAnsi="Times New Roman" w:cs="Times New Roman"/>
          <w:b/>
          <w:sz w:val="22"/>
        </w:rPr>
      </w:pPr>
    </w:p>
    <w:p>
      <w:pPr>
        <w:jc w:val="left"/>
        <w:spacing w:line="480" w:lineRule="auto"/>
        <w:rPr>
          <w:rFonts w:ascii="Times New Roman" w:eastAsiaTheme="minorHAnsi" w:hAnsi="Times New Roman" w:cs="Times New Roman"/>
          <w:b/>
          <w:sz w:val="22"/>
        </w:rPr>
      </w:pPr>
      <w:r>
        <w:rPr>
          <w:rFonts w:ascii="Times New Roman" w:eastAsiaTheme="minorHAnsi" w:hAnsi="Times New Roman" w:cs="Times New Roman"/>
          <w:b/>
          <w:sz w:val="22"/>
        </w:rPr>
        <w:t>RESULTS</w:t>
      </w:r>
    </w:p>
    <w:p>
      <w:pPr>
        <w:pStyle w:val="2"/>
        <w:spacing w:line="480" w:lineRule="auto"/>
        <w:rPr>
          <w:rFonts w:ascii="Times New Roman" w:hAnsi="Times New Roman" w:cs="Times New Roman"/>
          <w:b/>
          <w:bCs/>
          <w:sz w:val="22"/>
        </w:rPr>
      </w:pPr>
      <w:r>
        <w:rPr>
          <w:rFonts w:ascii="Times New Roman" w:hAnsi="Times New Roman" w:cs="Times New Roman"/>
          <w:b/>
          <w:bCs/>
          <w:sz w:val="22"/>
        </w:rPr>
        <w:t>Demographic, clinical, and PSG data</w:t>
      </w:r>
    </w:p>
    <w:p>
      <w:pPr>
        <w:spacing w:line="480" w:lineRule="auto"/>
        <w:rPr>
          <w:rFonts w:ascii="Times New Roman" w:hAnsi="Times New Roman" w:cs="Times New Roman"/>
          <w:sz w:val="22"/>
        </w:rPr>
      </w:pPr>
      <w:r>
        <w:rPr>
          <w:rFonts w:ascii="Times New Roman" w:hAnsi="Times New Roman" w:cs="Times New Roman"/>
          <w:sz w:val="22"/>
        </w:rPr>
        <w:t xml:space="preserve">A total of 188 patients </w:t>
      </w:r>
      <w:r>
        <w:rPr>
          <w:rFonts w:ascii="Times New Roman" w:hAnsi="Times New Roman" w:cs="Times New Roman"/>
          <w:sz w:val="22"/>
        </w:rPr>
        <w:t xml:space="preserve">were included in this study. The average age was 47.4 years (range, 21–74 years) and most were male (n=172, 91.5%). Among </w:t>
      </w:r>
      <w:r>
        <w:rPr>
          <w:rFonts w:ascii="Times New Roman" w:hAnsi="Times New Roman" w:cs="Times New Roman"/>
          <w:sz w:val="22"/>
        </w:rPr>
        <w:t xml:space="preserve">the 188 participants, 80 (42.6%) were classified into the compliant group and 108 (57.4%) into </w:t>
      </w:r>
      <w:r>
        <w:rPr>
          <w:rFonts w:ascii="Times New Roman" w:hAnsi="Times New Roman" w:cs="Times New Roman"/>
          <w:sz w:val="22"/>
        </w:rPr>
        <w:t xml:space="preserve">the non-compliant group. A comparison of the demographic </w:t>
      </w:r>
      <w:r>
        <w:rPr>
          <w:rFonts w:ascii="Times New Roman" w:hAnsi="Times New Roman" w:cs="Times New Roman"/>
          <w:sz w:val="22"/>
        </w:rPr>
        <w:t>characteristics of the two groups is presented in Table</w:t>
      </w:r>
      <w:r>
        <w:rPr>
          <w:rFonts w:ascii="Times New Roman" w:hAnsi="Times New Roman" w:cs="Times New Roman"/>
          <w:sz w:val="22"/>
        </w:rPr>
        <w:t xml:space="preserve"> 1. Age (</w:t>
      </w:r>
      <w:r>
        <w:rPr>
          <w:rFonts w:ascii="Times New Roman" w:hAnsi="Times New Roman" w:cs="Times New Roman"/>
          <w:i/>
          <w:iCs/>
          <w:sz w:val="22"/>
        </w:rPr>
        <w:t>t</w:t>
      </w:r>
      <w:r>
        <w:rPr>
          <w:rFonts w:ascii="Times New Roman" w:hAnsi="Times New Roman" w:cs="Times New Roman"/>
          <w:sz w:val="22"/>
        </w:rPr>
        <w:t xml:space="preserve"> = –2.10, </w:t>
      </w:r>
      <w:r>
        <w:rPr>
          <w:rFonts w:ascii="Times New Roman" w:eastAsiaTheme="minorHAnsi" w:hAnsi="Times New Roman" w:cs="Times New Roman"/>
          <w:i/>
          <w:sz w:val="22"/>
          <w:kern w:val="0"/>
        </w:rPr>
        <w:t>P</w:t>
      </w:r>
      <w:r>
        <w:rPr>
          <w:rFonts w:ascii="Times New Roman" w:hAnsi="Times New Roman" w:cs="Times New Roman"/>
          <w:sz w:val="22"/>
        </w:rPr>
        <w:t xml:space="preserve"> = 0.038) was higher in the compliant group, but there was no significant sex difference. Additionally, there were no differences </w:t>
      </w:r>
      <w:r>
        <w:rPr>
          <w:rFonts w:ascii="Times New Roman" w:hAnsi="Times New Roman" w:cs="Times New Roman"/>
          <w:sz w:val="22"/>
        </w:rPr>
        <w:t>between the two groups in terms of marital status, education level, or occupational status. Hypertension (</w:t>
      </w:r>
      <w:r>
        <w:rPr>
          <w:rFonts w:ascii="Times New Roman" w:hAnsi="Times New Roman" w:cs="Times New Roman"/>
          <w:i/>
          <w:sz w:val="22"/>
        </w:rPr>
        <w:t>χ</w:t>
      </w:r>
      <w:r>
        <w:rPr>
          <w:rFonts w:ascii="Times New Roman" w:hAnsi="Times New Roman" w:cs="Times New Roman"/>
          <w:sz w:val="22"/>
          <w:vertAlign w:val="superscript"/>
        </w:rPr>
        <w:t xml:space="preserve">2 </w:t>
      </w:r>
      <w:r>
        <w:rPr>
          <w:rFonts w:ascii="Times New Roman" w:hAnsi="Times New Roman" w:cs="Times New Roman"/>
          <w:sz w:val="22"/>
        </w:rPr>
        <w:t xml:space="preserve">= 5.02, </w:t>
      </w:r>
      <w:r>
        <w:rPr>
          <w:rFonts w:ascii="Times New Roman" w:eastAsiaTheme="minorHAnsi" w:hAnsi="Times New Roman" w:cs="Times New Roman"/>
          <w:i/>
          <w:sz w:val="22"/>
          <w:kern w:val="0"/>
        </w:rPr>
        <w:t>P</w:t>
      </w:r>
      <w:r>
        <w:rPr>
          <w:rFonts w:ascii="Times New Roman" w:hAnsi="Times New Roman" w:cs="Times New Roman"/>
          <w:i/>
          <w:sz w:val="22"/>
        </w:rPr>
        <w:t xml:space="preserve"> </w:t>
      </w:r>
      <w:r>
        <w:rPr>
          <w:rFonts w:ascii="Times New Roman" w:hAnsi="Times New Roman" w:cs="Times New Roman"/>
          <w:sz w:val="22"/>
        </w:rPr>
        <w:t>= 0.025) and medical insurance coverage (</w:t>
      </w:r>
      <w:r>
        <w:rPr>
          <w:rFonts w:ascii="Times New Roman" w:hAnsi="Times New Roman" w:cs="Times New Roman"/>
          <w:i/>
          <w:sz w:val="22"/>
        </w:rPr>
        <w:t>χ</w:t>
      </w:r>
      <w:r>
        <w:rPr>
          <w:rFonts w:ascii="Times New Roman" w:hAnsi="Times New Roman" w:cs="Times New Roman"/>
          <w:sz w:val="22"/>
          <w:vertAlign w:val="superscript"/>
        </w:rPr>
        <w:t xml:space="preserve">2 </w:t>
      </w:r>
      <w:r>
        <w:rPr>
          <w:rFonts w:ascii="Times New Roman" w:hAnsi="Times New Roman" w:cs="Times New Roman"/>
          <w:sz w:val="22"/>
        </w:rPr>
        <w:t xml:space="preserve">= 7.29, </w:t>
      </w:r>
      <w:r>
        <w:rPr>
          <w:rFonts w:ascii="Times New Roman" w:eastAsiaTheme="minorHAnsi" w:hAnsi="Times New Roman" w:cs="Times New Roman"/>
          <w:i/>
          <w:sz w:val="22"/>
          <w:kern w:val="0"/>
        </w:rPr>
        <w:t>P</w:t>
      </w:r>
      <w:r>
        <w:rPr>
          <w:rFonts w:ascii="Times New Roman" w:hAnsi="Times New Roman" w:cs="Times New Roman"/>
          <w:i/>
          <w:sz w:val="22"/>
        </w:rPr>
        <w:t xml:space="preserve"> </w:t>
      </w:r>
      <w:r>
        <w:rPr>
          <w:rFonts w:ascii="Times New Roman" w:hAnsi="Times New Roman" w:cs="Times New Roman"/>
          <w:sz w:val="22"/>
        </w:rPr>
        <w:t>= 0.007) were significantly higher in the compliant group than in the non-compliant group.</w:t>
      </w:r>
      <w:r>
        <w:rPr>
          <w:rFonts w:ascii="Times New Roman" w:hAnsi="Times New Roman" w:cs="Times New Roman"/>
          <w:sz w:val="22"/>
        </w:rPr>
        <w:t xml:space="preserve"> </w:t>
      </w:r>
      <w:r>
        <w:rPr>
          <w:rFonts w:ascii="Times New Roman" w:hAnsi="Times New Roman" w:cs="Times New Roman"/>
          <w:color w:val="0070C0"/>
          <w:sz w:val="22"/>
          <w:highlight w:val="yellow"/>
        </w:rPr>
        <w:t>Of the participants, 109 (5</w:t>
      </w:r>
      <w:r>
        <w:rPr>
          <w:rFonts w:ascii="Times New Roman" w:hAnsi="Times New Roman" w:cs="Times New Roman"/>
          <w:color w:val="0070C0"/>
          <w:sz w:val="22"/>
          <w:highlight w:val="yellow"/>
        </w:rPr>
        <w:t>8.0</w:t>
      </w:r>
      <w:r>
        <w:rPr>
          <w:rFonts w:ascii="Times New Roman" w:hAnsi="Times New Roman" w:cs="Times New Roman"/>
          <w:color w:val="0070C0"/>
          <w:sz w:val="22"/>
          <w:highlight w:val="yellow"/>
        </w:rPr>
        <w:t>%) used APAP. The proportion of APAP users in the compliant and non-compliant groups was 60% and 56.</w:t>
      </w:r>
      <w:r>
        <w:rPr>
          <w:rFonts w:ascii="Times New Roman" w:hAnsi="Times New Roman" w:cs="Times New Roman"/>
          <w:color w:val="0070C0"/>
          <w:sz w:val="22"/>
          <w:highlight w:val="yellow"/>
        </w:rPr>
        <w:t>5</w:t>
      </w:r>
      <w:r>
        <w:rPr>
          <w:rFonts w:ascii="Times New Roman" w:hAnsi="Times New Roman" w:cs="Times New Roman"/>
          <w:color w:val="0070C0"/>
          <w:sz w:val="22"/>
          <w:highlight w:val="yellow"/>
        </w:rPr>
        <w:t>%, respectively, with no significant difference in the proportion of APAP users within the two groups (χ2 = 0.23, P = 0.629).</w:t>
      </w:r>
      <w:r>
        <w:rPr>
          <w:rFonts w:ascii="Times New Roman" w:hAnsi="Times New Roman" w:cs="Times New Roman"/>
          <w:color w:val="0070C0"/>
          <w:sz w:val="22"/>
          <w:highlight w:val="yellow"/>
        </w:rPr>
        <w:t xml:space="preserve"> The mean CPAP pressure in the compliant and non-compliant groups was 8.6 and 8.9cmH2O, respectively, with no significant difference</w:t>
      </w:r>
      <w:r>
        <w:rPr>
          <w:rFonts w:ascii="Times New Roman" w:hAnsi="Times New Roman" w:cs="Times New Roman"/>
          <w:color w:val="0070C0"/>
          <w:sz w:val="22"/>
          <w:highlight w:val="yellow"/>
        </w:rPr>
        <w:t xml:space="preserve"> between the two groups</w:t>
      </w:r>
      <w:r>
        <w:rPr>
          <w:rFonts w:ascii="Times New Roman" w:hAnsi="Times New Roman" w:cs="Times New Roman"/>
          <w:color w:val="0070C0"/>
          <w:sz w:val="22"/>
          <w:highlight w:val="yellow"/>
        </w:rPr>
        <w:t xml:space="preserve"> (t = -1.21, P = 0.227).</w:t>
      </w:r>
    </w:p>
    <w:p>
      <w:pPr>
        <w:ind w:firstLine="720"/>
        <w:spacing w:line="480" w:lineRule="auto"/>
        <w:rPr>
          <w:rFonts w:ascii="Times New Roman" w:hAnsi="Times New Roman" w:cs="Times New Roman"/>
          <w:sz w:val="22"/>
        </w:rPr>
      </w:pPr>
      <w:r>
        <w:rPr>
          <w:rFonts w:ascii="Times New Roman" w:hAnsi="Times New Roman" w:cs="Times New Roman"/>
          <w:sz w:val="22"/>
        </w:rPr>
        <w:t xml:space="preserve">Table 2 shows the differences in the sleep and depression clinical questionnaires between the two groups. There was no significant difference in the total ESS or BDI total scores between the two groups. Although there was no significant difference between the two groups on the ISI scale, the </w:t>
      </w:r>
      <w:r>
        <w:rPr>
          <w:rFonts w:ascii="Times New Roman" w:eastAsiaTheme="minorHAnsi" w:hAnsi="Times New Roman" w:cs="Times New Roman"/>
          <w:i/>
          <w:sz w:val="22"/>
          <w:kern w:val="0"/>
        </w:rPr>
        <w:t>P</w:t>
      </w:r>
      <w:r>
        <w:rPr>
          <w:rFonts w:ascii="Times New Roman" w:hAnsi="Times New Roman" w:cs="Times New Roman"/>
          <w:sz w:val="22"/>
        </w:rPr>
        <w:t xml:space="preserve"> values of the ISI total score (</w:t>
      </w:r>
      <w:r>
        <w:rPr>
          <w:rFonts w:ascii="Times New Roman" w:hAnsi="Times New Roman" w:cs="Times New Roman"/>
          <w:i/>
          <w:sz w:val="22"/>
        </w:rPr>
        <w:t xml:space="preserve">t </w:t>
      </w:r>
      <w:r>
        <w:rPr>
          <w:rFonts w:ascii="Times New Roman" w:hAnsi="Times New Roman" w:cs="Times New Roman"/>
          <w:sz w:val="22"/>
        </w:rPr>
        <w:t xml:space="preserve">= 1.67, </w:t>
      </w:r>
      <w:r>
        <w:rPr>
          <w:rFonts w:ascii="Times New Roman" w:eastAsiaTheme="minorHAnsi" w:hAnsi="Times New Roman" w:cs="Times New Roman"/>
          <w:i/>
          <w:sz w:val="22"/>
          <w:kern w:val="0"/>
        </w:rPr>
        <w:t>P</w:t>
      </w:r>
      <w:r>
        <w:rPr>
          <w:rFonts w:ascii="Times New Roman" w:hAnsi="Times New Roman" w:cs="Times New Roman"/>
          <w:i/>
          <w:sz w:val="22"/>
        </w:rPr>
        <w:t xml:space="preserve"> </w:t>
      </w:r>
      <w:r>
        <w:rPr>
          <w:rFonts w:ascii="Times New Roman" w:hAnsi="Times New Roman" w:cs="Times New Roman"/>
          <w:sz w:val="22"/>
        </w:rPr>
        <w:t>= 0.097), and items “dissatisfaction with sleep” (</w:t>
      </w:r>
      <w:r>
        <w:rPr>
          <w:rFonts w:ascii="Times New Roman" w:hAnsi="Times New Roman" w:cs="Times New Roman"/>
          <w:i/>
          <w:sz w:val="22"/>
        </w:rPr>
        <w:t xml:space="preserve">t </w:t>
      </w:r>
      <w:r>
        <w:rPr>
          <w:rFonts w:ascii="Times New Roman" w:hAnsi="Times New Roman" w:cs="Times New Roman"/>
          <w:sz w:val="22"/>
        </w:rPr>
        <w:t xml:space="preserve">= 1.687, </w:t>
      </w:r>
      <w:r>
        <w:rPr>
          <w:rFonts w:ascii="Times New Roman" w:eastAsiaTheme="minorHAnsi" w:hAnsi="Times New Roman" w:cs="Times New Roman"/>
          <w:i/>
          <w:sz w:val="22"/>
          <w:kern w:val="0"/>
        </w:rPr>
        <w:t>P</w:t>
      </w:r>
      <w:r>
        <w:rPr>
          <w:rFonts w:ascii="Times New Roman" w:hAnsi="Times New Roman" w:cs="Times New Roman"/>
          <w:i/>
          <w:sz w:val="22"/>
        </w:rPr>
        <w:t xml:space="preserve"> </w:t>
      </w:r>
      <w:r>
        <w:rPr>
          <w:rFonts w:ascii="Times New Roman" w:hAnsi="Times New Roman" w:cs="Times New Roman"/>
          <w:sz w:val="22"/>
        </w:rPr>
        <w:t>= 0.094) and “how noticeable to other people” (</w:t>
      </w:r>
      <w:r>
        <w:rPr>
          <w:rFonts w:ascii="Times New Roman" w:hAnsi="Times New Roman" w:cs="Times New Roman"/>
          <w:i/>
          <w:sz w:val="22"/>
        </w:rPr>
        <w:t xml:space="preserve">t </w:t>
      </w:r>
      <w:r>
        <w:rPr>
          <w:rFonts w:ascii="Times New Roman" w:hAnsi="Times New Roman" w:cs="Times New Roman"/>
          <w:sz w:val="22"/>
        </w:rPr>
        <w:t xml:space="preserve">= 1.81, </w:t>
      </w:r>
      <w:r>
        <w:rPr>
          <w:rFonts w:ascii="Times New Roman" w:eastAsiaTheme="minorHAnsi" w:hAnsi="Times New Roman" w:cs="Times New Roman"/>
          <w:i/>
          <w:sz w:val="22"/>
          <w:kern w:val="0"/>
        </w:rPr>
        <w:t>P</w:t>
      </w:r>
      <w:r>
        <w:rPr>
          <w:rFonts w:ascii="Times New Roman" w:hAnsi="Times New Roman" w:cs="Times New Roman"/>
          <w:i/>
          <w:sz w:val="22"/>
        </w:rPr>
        <w:t xml:space="preserve"> </w:t>
      </w:r>
      <w:r>
        <w:rPr>
          <w:rFonts w:ascii="Times New Roman" w:hAnsi="Times New Roman" w:cs="Times New Roman"/>
          <w:sz w:val="22"/>
        </w:rPr>
        <w:t>= 0.072) were &lt; 0.1; therefore, these variables were included as independent variables in the regression equation. There was no significant difference in the PSQI total score between the two groups; however, the compliant group showed lower scores on the “overall sleep quality” question, indicating better sleep quality (</w:t>
      </w:r>
      <w:r>
        <w:rPr>
          <w:rFonts w:ascii="Times New Roman" w:hAnsi="Times New Roman" w:cs="Times New Roman"/>
          <w:i/>
          <w:sz w:val="22"/>
        </w:rPr>
        <w:t xml:space="preserve">t </w:t>
      </w:r>
      <w:r>
        <w:rPr>
          <w:rFonts w:ascii="Times New Roman" w:hAnsi="Times New Roman" w:cs="Times New Roman"/>
          <w:sz w:val="22"/>
        </w:rPr>
        <w:t xml:space="preserve">= 2.41, </w:t>
      </w:r>
      <w:r>
        <w:rPr>
          <w:rFonts w:ascii="Times New Roman" w:eastAsiaTheme="minorHAnsi" w:hAnsi="Times New Roman" w:cs="Times New Roman"/>
          <w:i/>
          <w:sz w:val="22"/>
          <w:kern w:val="0"/>
        </w:rPr>
        <w:t>P</w:t>
      </w:r>
      <w:r>
        <w:rPr>
          <w:rFonts w:ascii="Times New Roman" w:hAnsi="Times New Roman" w:cs="Times New Roman"/>
          <w:i/>
          <w:sz w:val="22"/>
        </w:rPr>
        <w:t xml:space="preserve"> </w:t>
      </w:r>
      <w:r>
        <w:rPr>
          <w:rFonts w:ascii="Times New Roman" w:hAnsi="Times New Roman" w:cs="Times New Roman"/>
          <w:sz w:val="22"/>
        </w:rPr>
        <w:t xml:space="preserve">= 0.017). </w:t>
      </w:r>
    </w:p>
    <w:p>
      <w:pPr>
        <w:ind w:firstLine="720"/>
        <w:spacing w:line="480" w:lineRule="auto"/>
        <w:rPr>
          <w:rFonts w:ascii="Times New Roman" w:hAnsi="Times New Roman" w:cs="Times New Roman"/>
          <w:sz w:val="22"/>
        </w:rPr>
      </w:pPr>
      <w:r>
        <w:rPr>
          <w:rFonts w:ascii="Times New Roman" w:hAnsi="Times New Roman" w:cs="Times New Roman"/>
          <w:sz w:val="22"/>
        </w:rPr>
        <w:t>Among the PSG variables, only the stage N1 ratio showed a significant difference between the two groups, with the compliant group showing a higher N1 percentage (</w:t>
      </w:r>
      <w:r>
        <w:rPr>
          <w:rFonts w:ascii="Times New Roman" w:hAnsi="Times New Roman" w:cs="Times New Roman"/>
          <w:i/>
          <w:iCs/>
          <w:sz w:val="22"/>
        </w:rPr>
        <w:t xml:space="preserve">t </w:t>
      </w:r>
      <w:r>
        <w:rPr>
          <w:rFonts w:ascii="Times New Roman" w:hAnsi="Times New Roman" w:cs="Times New Roman"/>
          <w:sz w:val="22"/>
        </w:rPr>
        <w:t xml:space="preserve">= –2.06, </w:t>
      </w:r>
      <w:r>
        <w:rPr>
          <w:rFonts w:ascii="Times New Roman" w:eastAsiaTheme="minorHAnsi" w:hAnsi="Times New Roman" w:cs="Times New Roman"/>
          <w:i/>
          <w:sz w:val="22"/>
          <w:kern w:val="0"/>
        </w:rPr>
        <w:t>P</w:t>
      </w:r>
      <w:r>
        <w:rPr>
          <w:rFonts w:ascii="Times New Roman" w:hAnsi="Times New Roman" w:cs="Times New Roman"/>
          <w:i/>
          <w:iCs/>
          <w:sz w:val="22"/>
        </w:rPr>
        <w:t xml:space="preserve"> </w:t>
      </w:r>
      <w:r>
        <w:rPr>
          <w:rFonts w:ascii="Times New Roman" w:hAnsi="Times New Roman" w:cs="Times New Roman"/>
          <w:iCs/>
          <w:sz w:val="22"/>
        </w:rPr>
        <w:t xml:space="preserve">= </w:t>
      </w:r>
      <w:r>
        <w:rPr>
          <w:rFonts w:ascii="Times New Roman" w:hAnsi="Times New Roman" w:cs="Times New Roman"/>
          <w:sz w:val="22"/>
        </w:rPr>
        <w:t xml:space="preserve">0.041). There were no significant or </w:t>
      </w:r>
      <w:r>
        <w:rPr>
          <w:rFonts w:ascii="Times New Roman" w:eastAsiaTheme="minorHAnsi" w:hAnsi="Times New Roman" w:cs="Times New Roman"/>
          <w:i/>
          <w:sz w:val="22"/>
          <w:kern w:val="0"/>
        </w:rPr>
        <w:t>P</w:t>
      </w:r>
      <w:r>
        <w:rPr>
          <w:rFonts w:ascii="Times New Roman" w:hAnsi="Times New Roman" w:cs="Times New Roman"/>
          <w:sz w:val="22"/>
        </w:rPr>
        <w:t xml:space="preserve"> &lt; 0.1 variables among the other PSG parameters. The detailed data are presented in Table 3.</w:t>
      </w:r>
      <w:r>
        <w:rPr>
          <w:rFonts w:ascii="Times New Roman" w:hAnsi="Times New Roman" w:cs="Times New Roman"/>
          <w:sz w:val="22"/>
        </w:rPr>
        <w:t xml:space="preserve"> </w:t>
      </w:r>
      <w:bookmarkStart w:id="3" w:name="_Hlk149501668"/>
      <w:r>
        <w:rPr>
          <w:rFonts w:ascii="Times New Roman" w:hAnsi="Times New Roman" w:cs="Times New Roman"/>
          <w:color w:val="0070C0"/>
          <w:sz w:val="22"/>
          <w:highlight w:val="yellow"/>
        </w:rPr>
        <w:t>In the 4 groups categorized according to compliance and insurance coverage status, One-way ANOVA revealed significant differences at stage N1 (F = 3.678, P = 0.013) and stage N3 (F = 2.695, P = 0.047)</w:t>
      </w:r>
      <w:r>
        <w:rPr>
          <w:rFonts w:ascii="Times New Roman" w:hAnsi="Times New Roman" w:cs="Times New Roman"/>
          <w:color w:val="0070C0"/>
          <w:sz w:val="22"/>
          <w:highlight w:val="yellow"/>
        </w:rPr>
        <w:t xml:space="preserve"> (</w:t>
      </w:r>
      <w:r>
        <w:rPr>
          <w:rFonts w:ascii="Times New Roman" w:hAnsi="Times New Roman" w:cs="Times New Roman"/>
          <w:b/>
          <w:bCs/>
          <w:color w:val="0070C0"/>
          <w:szCs w:val="20"/>
          <w:highlight w:val="yellow"/>
        </w:rPr>
        <w:t xml:space="preserve">Supplementary Table </w:t>
      </w:r>
      <w:r>
        <w:rPr>
          <w:rFonts w:ascii="Times New Roman" w:hAnsi="Times New Roman" w:cs="Times New Roman"/>
          <w:b/>
          <w:bCs/>
          <w:color w:val="0070C0"/>
          <w:szCs w:val="20"/>
          <w:highlight w:val="yellow"/>
        </w:rPr>
        <w:t>2</w:t>
      </w:r>
      <w:r>
        <w:rPr>
          <w:rFonts w:ascii="Times New Roman" w:hAnsi="Times New Roman" w:cs="Times New Roman"/>
          <w:b/>
          <w:bCs/>
          <w:color w:val="0070C0"/>
          <w:szCs w:val="20"/>
          <w:highlight w:val="yellow"/>
        </w:rPr>
        <w:t xml:space="preserve">). </w:t>
      </w:r>
      <w:r>
        <w:rPr>
          <w:rFonts w:ascii="Times New Roman" w:hAnsi="Times New Roman" w:cs="Times New Roman"/>
          <w:color w:val="0070C0"/>
          <w:sz w:val="22"/>
          <w:highlight w:val="yellow"/>
        </w:rPr>
        <w:t>When comparing the two groups individually in a post hoc test, there was only a significant difference at stage N1 percentage between the noncompliant and insured group and the compliant but uninsured group (P = 0.009).</w:t>
      </w:r>
      <w:bookmarkEnd w:id="3"/>
    </w:p>
    <w:p>
      <w:pPr>
        <w:ind w:firstLine="720"/>
        <w:spacing w:line="480" w:lineRule="auto"/>
        <w:rPr>
          <w:rFonts w:ascii="Times New Roman" w:hAnsi="Times New Roman" w:cs="Times New Roman"/>
          <w:sz w:val="22"/>
        </w:rPr>
      </w:pPr>
    </w:p>
    <w:p>
      <w:pPr>
        <w:pStyle w:val="2"/>
        <w:spacing w:line="480" w:lineRule="auto"/>
        <w:rPr>
          <w:rFonts w:ascii="Times New Roman" w:hAnsi="Times New Roman" w:cs="Times New Roman"/>
          <w:b/>
          <w:bCs/>
          <w:sz w:val="22"/>
        </w:rPr>
      </w:pPr>
      <w:r>
        <w:rPr>
          <w:rFonts w:ascii="Times New Roman" w:hAnsi="Times New Roman" w:cs="Times New Roman"/>
          <w:b/>
          <w:bCs/>
          <w:sz w:val="22"/>
        </w:rPr>
        <w:t xml:space="preserve">Predicting factors that affected compliance with </w:t>
      </w:r>
      <w:r>
        <w:rPr>
          <w:rFonts w:ascii="Times New Roman" w:hAnsi="Times New Roman" w:cs="Times New Roman"/>
          <w:b/>
          <w:bCs/>
          <w:sz w:val="22"/>
        </w:rPr>
        <w:t>CPAP</w:t>
      </w:r>
    </w:p>
    <w:p>
      <w:pPr>
        <w:ind w:firstLine="720"/>
        <w:spacing w:line="480" w:lineRule="auto"/>
        <w:rPr>
          <w:rFonts w:ascii="Times New Roman" w:hAnsi="Times New Roman" w:cs="Times New Roman"/>
          <w:sz w:val="22"/>
        </w:rPr>
      </w:pPr>
      <w:r>
        <w:rPr>
          <w:rFonts w:ascii="Times New Roman" w:hAnsi="Times New Roman" w:cs="Times New Roman"/>
          <w:sz w:val="22"/>
        </w:rPr>
        <w:t xml:space="preserve">Logistic regression analyses using the likelihood ratio (LR) method were performed for compliance. </w:t>
      </w:r>
      <w:r>
        <w:rPr>
          <w:rFonts w:ascii="Times New Roman" w:hAnsi="Times New Roman" w:cs="Times New Roman"/>
          <w:sz w:val="22"/>
        </w:rPr>
        <w:t xml:space="preserve">Independent variables in the regression analysis included age, AHI, hypertension, health </w:t>
      </w:r>
      <w:r>
        <w:rPr>
          <w:rFonts w:ascii="Times New Roman" w:hAnsi="Times New Roman" w:cs="Times New Roman"/>
          <w:sz w:val="22"/>
        </w:rPr>
        <w:t>insurance coverage, ISI (total score, dissatisfaction with sleep, how noticeable), PSQI overall sleep quality, and ratio of stage N1, and the results are presented in Table 4. The ratio of stage N1 (</w:t>
      </w:r>
      <w:r>
        <w:rPr>
          <w:rFonts w:ascii="Times New Roman" w:hAnsi="Times New Roman" w:cs="Times New Roman"/>
          <w:i/>
          <w:sz w:val="22"/>
        </w:rPr>
        <w:t>B</w:t>
      </w:r>
      <w:r>
        <w:rPr>
          <w:rFonts w:ascii="Times New Roman" w:hAnsi="Times New Roman" w:cs="Times New Roman"/>
          <w:sz w:val="22"/>
        </w:rPr>
        <w:t xml:space="preserve"> = 0.04, </w:t>
      </w:r>
      <w:r>
        <w:rPr>
          <w:rFonts w:ascii="Times New Roman" w:eastAsiaTheme="minorHAnsi" w:hAnsi="Times New Roman" w:cs="Times New Roman"/>
          <w:i/>
          <w:sz w:val="22"/>
          <w:kern w:val="0"/>
        </w:rPr>
        <w:t>P</w:t>
      </w:r>
      <w:r>
        <w:rPr>
          <w:rFonts w:ascii="Times New Roman" w:eastAsiaTheme="minorHAnsi" w:hAnsi="Times New Roman" w:cs="Times New Roman"/>
          <w:color w:val="231F20"/>
          <w:sz w:val="22"/>
          <w:kern w:val="0"/>
        </w:rPr>
        <w:t xml:space="preserve"> </w:t>
      </w:r>
      <w:r>
        <w:rPr>
          <w:rFonts w:ascii="Times New Roman" w:hAnsi="Times New Roman" w:cs="Times New Roman"/>
          <w:sz w:val="22"/>
        </w:rPr>
        <w:t>= 0.011) and health insurance coverage (</w:t>
      </w:r>
      <w:r>
        <w:rPr>
          <w:rFonts w:ascii="Times New Roman" w:hAnsi="Times New Roman" w:cs="Times New Roman"/>
          <w:i/>
          <w:sz w:val="22"/>
        </w:rPr>
        <w:t>B</w:t>
      </w:r>
      <w:r>
        <w:rPr>
          <w:rFonts w:ascii="Times New Roman" w:hAnsi="Times New Roman" w:cs="Times New Roman"/>
          <w:sz w:val="22"/>
        </w:rPr>
        <w:t xml:space="preserve"> = –0.97, </w:t>
      </w:r>
      <w:r>
        <w:rPr>
          <w:rFonts w:ascii="Times New Roman" w:eastAsiaTheme="minorHAnsi" w:hAnsi="Times New Roman" w:cs="Times New Roman"/>
          <w:i/>
          <w:sz w:val="22"/>
          <w:kern w:val="0"/>
        </w:rPr>
        <w:t>P</w:t>
      </w:r>
      <w:r>
        <w:rPr>
          <w:rFonts w:ascii="Times New Roman" w:hAnsi="Times New Roman" w:cs="Times New Roman"/>
          <w:sz w:val="22"/>
        </w:rPr>
        <w:t xml:space="preserve"> = 0.007) were significantly associated with compliance with CPAP, with an explanatory power of 18.6% (</w:t>
      </w:r>
      <w:r>
        <w:rPr>
          <w:rFonts w:ascii="Times New Roman" w:hAnsi="Times New Roman" w:cs="Times New Roman"/>
          <w:i/>
          <w:sz w:val="22"/>
        </w:rPr>
        <w:t>R</w:t>
      </w:r>
      <w:r>
        <w:rPr>
          <w:rFonts w:ascii="Times New Roman" w:hAnsi="Times New Roman" w:cs="Times New Roman"/>
          <w:sz w:val="22"/>
          <w:vertAlign w:val="superscript"/>
        </w:rPr>
        <w:t xml:space="preserve">2 </w:t>
      </w:r>
      <w:r>
        <w:rPr>
          <w:rFonts w:ascii="Times New Roman" w:hAnsi="Times New Roman" w:cs="Times New Roman"/>
          <w:sz w:val="22"/>
        </w:rPr>
        <w:t xml:space="preserve">= 0.186). The significance of this regression model was </w:t>
      </w:r>
      <w:r>
        <w:rPr>
          <w:rFonts w:ascii="Times New Roman" w:eastAsiaTheme="minorHAnsi" w:hAnsi="Times New Roman" w:cs="Times New Roman"/>
          <w:i/>
          <w:sz w:val="22"/>
          <w:kern w:val="0"/>
        </w:rPr>
        <w:t>P</w:t>
      </w:r>
      <w:r>
        <w:rPr>
          <w:rFonts w:ascii="Times New Roman" w:hAnsi="Times New Roman" w:cs="Times New Roman"/>
          <w:sz w:val="22"/>
        </w:rPr>
        <w:t xml:space="preserve"> &lt; 0.001 and the predictive value was 64.2%.</w:t>
      </w:r>
    </w:p>
    <w:p>
      <w:pPr>
        <w:autoSpaceDE/>
        <w:autoSpaceDN/>
        <w:widowControl/>
        <w:wordWrap/>
        <w:jc w:val="left"/>
        <w:spacing w:line="480" w:lineRule="auto"/>
        <w:rPr>
          <w:rFonts w:ascii="Times New Roman" w:eastAsiaTheme="minorHAnsi" w:hAnsi="Times New Roman" w:cs="Times New Roman"/>
          <w:b/>
          <w:sz w:val="22"/>
        </w:rPr>
      </w:pPr>
    </w:p>
    <w:p>
      <w:pPr>
        <w:autoSpaceDE/>
        <w:autoSpaceDN/>
        <w:widowControl/>
        <w:wordWrap/>
        <w:jc w:val="left"/>
        <w:spacing w:line="480" w:lineRule="auto"/>
        <w:rPr>
          <w:rFonts w:ascii="Times New Roman" w:eastAsiaTheme="minorHAnsi" w:hAnsi="Times New Roman" w:cs="Times New Roman"/>
          <w:b/>
          <w:sz w:val="22"/>
        </w:rPr>
      </w:pPr>
      <w:r>
        <w:rPr>
          <w:rFonts w:ascii="Times New Roman" w:eastAsiaTheme="minorHAnsi" w:hAnsi="Times New Roman" w:cs="Times New Roman"/>
          <w:b/>
          <w:sz w:val="22"/>
        </w:rPr>
        <w:t>DISCUSSION</w:t>
      </w:r>
    </w:p>
    <w:p>
      <w:pPr>
        <w:jc w:val="left"/>
        <w:spacing w:line="480" w:lineRule="auto"/>
        <w:rPr>
          <w:rFonts w:ascii="Times New Roman" w:eastAsiaTheme="minorHAnsi" w:hAnsi="Times New Roman" w:cs="Times New Roman"/>
          <w:sz w:val="22"/>
        </w:rPr>
      </w:pPr>
      <w:r>
        <w:rPr>
          <w:rFonts w:ascii="Times New Roman" w:eastAsiaTheme="minorHAnsi" w:hAnsi="Times New Roman" w:cs="Times New Roman"/>
          <w:sz w:val="22"/>
        </w:rPr>
        <w:t xml:space="preserve">This study evaluated and compared the demographic, clinical, and PSG variables of patients with and without compliance with CPAP and investigated the predictive factors associated with CPAP compliance. </w:t>
      </w:r>
      <w:bookmarkStart w:id="4" w:name="_Hlk101597442"/>
      <w:r>
        <w:rPr>
          <w:rFonts w:ascii="Times New Roman" w:eastAsiaTheme="minorHAnsi" w:hAnsi="Times New Roman" w:cs="Times New Roman"/>
          <w:sz w:val="22"/>
        </w:rPr>
        <w:t>The results indicated that the compliant group was older and had a higher frequency of hypertension, higher frequency of health insurance coverage, better sleep quality on the PSQI, and a higher ratio of stage N1 in the PSG. In the regression analysis, the stage N1 ratio and health insurance coverage were significant factors that predicted compliance with CPAP therapy.</w:t>
      </w:r>
    </w:p>
    <w:p>
      <w:pPr>
        <w:jc w:val="left"/>
        <w:spacing w:line="480" w:lineRule="auto"/>
        <w:rPr>
          <w:rFonts w:ascii="Times New Roman" w:eastAsiaTheme="minorHAnsi" w:hAnsi="Times New Roman" w:cs="Times New Roman"/>
          <w:sz w:val="22"/>
        </w:rPr>
      </w:pPr>
      <w:bookmarkEnd w:id="4"/>
      <w:r>
        <w:rPr>
          <w:rFonts w:ascii="Times New Roman" w:eastAsiaTheme="minorHAnsi" w:hAnsi="Times New Roman" w:cs="Times New Roman"/>
          <w:sz w:val="22"/>
        </w:rPr>
        <w:t xml:space="preserve">In this study, the average age was </w:t>
      </w:r>
      <w:r>
        <w:rPr>
          <w:rFonts w:ascii="Times New Roman" w:eastAsiaTheme="minorHAnsi" w:hAnsi="Times New Roman" w:cs="Times New Roman"/>
          <w:sz w:val="22"/>
        </w:rPr>
        <w:t>older</w:t>
      </w:r>
      <w:r>
        <w:rPr>
          <w:rFonts w:ascii="Times New Roman" w:eastAsiaTheme="minorHAnsi" w:hAnsi="Times New Roman" w:cs="Times New Roman"/>
          <w:sz w:val="22"/>
        </w:rPr>
        <w:t xml:space="preserve"> and the frequency of hypertension was higher in the CPAP-compliant group. The average age of the participants in this study was 47.4 years old, middle-aged. It is possible that older individuals were more aware of their OSA symptoms and worried about complications of OSA, which could be related to CPAP compliance. The association between compliance and age has yielded inconsistent results in previous studies. For instance, in previous studies in the United States and Italy, the compliant group was older,</w:t>
      </w:r>
      <w:r>
        <w:rPr>
          <w:rFonts w:ascii="Times New Roman" w:eastAsiaTheme="minorHAnsi" w:hAnsi="Times New Roman" w:cs="Times New Roman"/>
          <w:sz w:val="22"/>
        </w:rPr>
        <w:fldChar w:fldCharType="begin"/>
      </w:r>
      <w:r>
        <w:rPr>
          <w:rFonts w:ascii="Times New Roman" w:eastAsiaTheme="minorHAnsi" w:hAnsi="Times New Roman" w:cs="Times New Roman"/>
          <w:sz w:val="22"/>
        </w:rPr>
        <w:instrText xml:space="preserve"> ADDIN EN.CITE &lt;EndNote&gt;&lt;Cite&gt;&lt;Author&gt;Zampogna&lt;/Author&gt;&lt;Year&gt;2019&lt;/Year&gt;&lt;RecNum&gt;25&lt;/RecNum&gt;&lt;DisplayText&gt;&lt;style face="superscript" font="Courier New"&gt;17,25&lt;/style&gt;&lt;/DisplayText&gt;&lt;record&gt;&lt;rec-number&gt;25&lt;/rec-number&gt;&lt;foreign-keys&gt;&lt;key app="EN" db-id="eswvavzsosvad8efwtn5d0vq5zxtxrxe59xd" timestamp="1673893037"&gt;25&lt;/key&gt;&lt;/foreign-keys&gt;&lt;ref-type name="Journal Article"&gt;17&lt;/ref-type&gt;&lt;contributors&gt;&lt;authors&gt;&lt;author&gt;Zampogna, Elisabetta&lt;/author&gt;&lt;author&gt;Spanevello, Antonio&lt;/author&gt;&lt;author&gt;Lucioni, Anna Maria&lt;/author&gt;&lt;author&gt;Facchetti, Cristina&lt;/author&gt;&lt;author&gt;Sotgiu, Giovanni&lt;/author&gt;&lt;author&gt;Saderi, Laura&lt;/author&gt;&lt;author&gt;Ambrosino, Nicolino&lt;/author&gt;&lt;author&gt;Visca, Dina&lt;/author&gt;&lt;/authors&gt;&lt;/contributors&gt;&lt;titles&gt;&lt;title&gt;Adherence to continuous positive airway pressure in patients with obstructive sleep apnoea. A ten year real life study&lt;/title&gt;&lt;secondary-title&gt;Respiratory medicine&lt;/secondary-title&gt;&lt;/titles&gt;&lt;periodical&gt;&lt;full-title&gt;Respiratory medicine&lt;/full-title&gt;&lt;/periodical&gt;&lt;pages&gt;95-100&lt;/pages&gt;&lt;volume&gt;150&lt;/volume&gt;&lt;dates&gt;&lt;year&gt;2019&lt;/year&gt;&lt;/dates&gt;&lt;isbn&gt;0954-6111&lt;/isbn&gt;&lt;urls&gt;&lt;/urls&gt;&lt;/record&gt;&lt;/Cite&gt;&lt;Cite&gt;&lt;Author&gt;Collen&lt;/Author&gt;&lt;Year&gt;2009&lt;/Year&gt;&lt;RecNum&gt;17&lt;/RecNum&gt;&lt;record&gt;&lt;rec-number&gt;17&lt;/rec-number&gt;&lt;foreign-keys&gt;&lt;key app="EN" db-id="eswvavzsosvad8efwtn5d0vq5zxtxrxe59xd" timestamp="1673893037"&gt;17&lt;/key&gt;&lt;/foreign-keys&gt;&lt;ref-type name="Journal Article"&gt;17&lt;/ref-type&gt;&lt;contributors&gt;&lt;authors&gt;&lt;author&gt;Collen, Jacob&lt;/author&gt;&lt;author&gt;Lettieri, Christopher&lt;/author&gt;&lt;author&gt;Kelly, William&lt;/author&gt;&lt;author&gt;Roop, Stuart&lt;/author&gt;&lt;/authors&gt;&lt;/contributors&gt;&lt;titles&gt;&lt;title&gt;Clinical and polysomnographic predictors of short-term continuous positive airway pressure compliance&lt;/title&gt;&lt;secondary-title&gt;Chest&lt;/secondary-title&gt;&lt;/titles&gt;&lt;periodical&gt;&lt;full-title&gt;Chest&lt;/full-title&gt;&lt;abbr-1&gt;Chest&lt;/abbr-1&gt;&lt;/periodical&gt;&lt;pages&gt;704-709&lt;/pages&gt;&lt;volume&gt;135&lt;/volume&gt;&lt;number&gt;3&lt;/number&gt;&lt;dates&gt;&lt;year&gt;2009&lt;/year&gt;&lt;/dates&gt;&lt;isbn&gt;0012-3692&lt;/isbn&gt;&lt;urls&gt;&lt;related-urls&gt;&lt;url&gt;https://www.sciencedirect.com/science/article/pii/S0012369209601975?via%3Dihub&lt;/url&gt;&lt;/related-urls&gt;&lt;/urls&gt;&lt;/record&gt;&lt;/Cite&gt;&lt;/EndNote&gt;</w:instrText>
      </w:r>
      <w:r>
        <w:rPr>
          <w:rFonts w:ascii="Times New Roman" w:eastAsiaTheme="minorHAnsi" w:hAnsi="Times New Roman" w:cs="Times New Roman"/>
          <w:sz w:val="22"/>
        </w:rPr>
        <w:fldChar w:fldCharType="separate"/>
      </w:r>
      <w:r>
        <w:fldChar w:fldCharType="begin"/>
      </w:r>
      <w:r>
        <w:instrText xml:space="preserve"> HYPERLINK \l "_ENREF_17"\o "Collen, 2009 #17"</w:instrText>
      </w:r>
      <w:r>
        <w:fldChar w:fldCharType="separate"/>
      </w:r>
      <w:r>
        <w:rPr>
          <w:rFonts w:ascii="Courier New" w:eastAsiaTheme="minorHAnsi" w:hAnsi="Courier New" w:cs="Courier New"/>
          <w:noProof/>
          <w:sz w:val="22"/>
          <w:vertAlign w:val="superscript"/>
        </w:rPr>
        <w:t>17</w:t>
      </w:r>
      <w:r>
        <w:fldChar w:fldCharType="end"/>
      </w:r>
      <w:r>
        <w:rPr>
          <w:rFonts w:ascii="Courier New" w:eastAsiaTheme="minorHAnsi" w:hAnsi="Courier New" w:cs="Courier New"/>
          <w:noProof/>
          <w:sz w:val="22"/>
          <w:vertAlign w:val="superscript"/>
        </w:rPr>
        <w:t>,</w:t>
      </w:r>
      <w:r>
        <w:fldChar w:fldCharType="begin"/>
      </w:r>
      <w:r>
        <w:instrText xml:space="preserve"> HYPERLINK \l "_ENREF_25"\o "Zampogna, 2019 #25"</w:instrText>
      </w:r>
      <w:r>
        <w:fldChar w:fldCharType="separate"/>
      </w:r>
      <w:r>
        <w:rPr>
          <w:rFonts w:ascii="Courier New" w:eastAsiaTheme="minorHAnsi" w:hAnsi="Courier New" w:cs="Courier New"/>
          <w:noProof/>
          <w:sz w:val="22"/>
          <w:vertAlign w:val="superscript"/>
        </w:rPr>
        <w:t>25</w:t>
      </w:r>
      <w:r>
        <w:fldChar w:fldCharType="end"/>
      </w:r>
      <w:r>
        <w:rPr>
          <w:rFonts w:ascii="Times New Roman" w:eastAsiaTheme="minorHAnsi" w:hAnsi="Times New Roman" w:cs="Times New Roman"/>
          <w:sz w:val="22"/>
        </w:rPr>
        <w:fldChar w:fldCharType="end"/>
      </w:r>
      <w:r>
        <w:rPr>
          <w:rFonts w:ascii="Times New Roman" w:eastAsiaTheme="minorHAnsi" w:hAnsi="Times New Roman" w:cs="Times New Roman"/>
          <w:sz w:val="22"/>
        </w:rPr>
        <w:t xml:space="preserve"> and in a Korean study, the CPAP compliance rate increased as the age increased.</w:t>
      </w:r>
      <w:r>
        <w:fldChar w:fldCharType="begin"/>
      </w:r>
      <w:r>
        <w:instrText xml:space="preserve"> HYPERLINK \l "_ENREF_16"\o "Kwon, 2021 #16"</w:instrText>
      </w:r>
      <w:r>
        <w:fldChar w:fldCharType="separate"/>
      </w:r>
      <w:r>
        <w:rPr>
          <w:rFonts w:ascii="Times New Roman" w:eastAsiaTheme="minorHAnsi" w:hAnsi="Times New Roman" w:cs="Times New Roman"/>
          <w:sz w:val="22"/>
        </w:rPr>
        <w:fldChar w:fldCharType="begin"/>
      </w:r>
      <w:r>
        <w:rPr>
          <w:rFonts w:ascii="Times New Roman" w:eastAsiaTheme="minorHAnsi" w:hAnsi="Times New Roman" w:cs="Times New Roman"/>
          <w:sz w:val="22"/>
        </w:rPr>
        <w:instrText xml:space="preserve"> ADDIN EN.CITE &lt;EndNote&gt;&lt;Cite&gt;&lt;Author&gt;Kwon&lt;/Author&gt;&lt;Year&gt;2021&lt;/Year&gt;&lt;RecNum&gt;16&lt;/RecNum&gt;&lt;DisplayText&gt;&lt;style face="superscript" font="Courier New"&gt;16&lt;/style&gt;&lt;/DisplayText&gt;&lt;record&gt;&lt;rec-number&gt;16&lt;/rec-number&gt;&lt;foreign-keys&gt;&lt;key app="EN" db-id="eswvavzsosvad8efwtn5d0vq5zxtxrxe59xd" timestamp="1673893037"&gt;16&lt;/key&gt;&lt;/foreign-keys&gt;&lt;ref-type name="Journal Article"&gt;17&lt;/ref-type&gt;&lt;contributors&gt;&lt;authors&gt;&lt;author&gt;Kwon, Oh Eun&lt;/author&gt;&lt;author&gt;Hah, Youngmin&lt;/author&gt;&lt;author&gt;Hong, Il Hee&lt;/author&gt;&lt;/authors&gt;&lt;/contributors&gt;&lt;titles&gt;&lt;title&gt;Various Factors Affecting Short-Term Compliance Rates of CPAP in OSA Patients: in the Age of Insurance Coverage in Korea&lt;/title&gt;&lt;secondary-title&gt;Journal of Rhinology&lt;/secondary-title&gt;&lt;/titles&gt;&lt;periodical&gt;&lt;full-title&gt;Journal of Rhinology&lt;/full-title&gt;&lt;/periodical&gt;&lt;pages&gt;36-43&lt;/pages&gt;&lt;volume&gt;28&lt;/volume&gt;&lt;number&gt;1&lt;/number&gt;&lt;dates&gt;&lt;year&gt;2021&lt;/year&gt;&lt;/dates&gt;&lt;isbn&gt;1229-1498&lt;/isbn&gt;&lt;urls&gt;&lt;/urls&gt;&lt;/record&gt;&lt;/Cite&gt;&lt;/EndNote&gt;</w:instrText>
      </w:r>
      <w:r>
        <w:rPr>
          <w:rFonts w:ascii="Times New Roman" w:eastAsiaTheme="minorHAnsi" w:hAnsi="Times New Roman" w:cs="Times New Roman"/>
          <w:sz w:val="22"/>
        </w:rPr>
        <w:fldChar w:fldCharType="separate"/>
      </w:r>
      <w:r>
        <w:rPr>
          <w:rFonts w:ascii="Courier New" w:eastAsiaTheme="minorHAnsi" w:hAnsi="Courier New" w:cs="Courier New"/>
          <w:noProof/>
          <w:sz w:val="22"/>
          <w:vertAlign w:val="superscript"/>
        </w:rPr>
        <w:t>16</w:t>
      </w:r>
      <w:r>
        <w:rPr>
          <w:rFonts w:ascii="Times New Roman" w:eastAsiaTheme="minorHAnsi" w:hAnsi="Times New Roman" w:cs="Times New Roman"/>
          <w:sz w:val="22"/>
        </w:rPr>
        <w:fldChar w:fldCharType="end"/>
      </w:r>
      <w:r>
        <w:fldChar w:fldCharType="end"/>
      </w:r>
      <w:r>
        <w:rPr>
          <w:rFonts w:ascii="Times New Roman" w:eastAsiaTheme="minorHAnsi" w:hAnsi="Times New Roman" w:cs="Times New Roman"/>
          <w:sz w:val="22"/>
        </w:rPr>
        <w:t xml:space="preserve"> However, a Singapore study showed that there were more older age groups among those who did not start treatment at 1 month.</w:t>
      </w:r>
      <w:r>
        <w:fldChar w:fldCharType="begin"/>
      </w:r>
      <w:r>
        <w:instrText xml:space="preserve"> HYPERLINK \l "_ENREF_26"\o "Tan, 2018 #26"</w:instrText>
      </w:r>
      <w:r>
        <w:fldChar w:fldCharType="separate"/>
      </w:r>
      <w:r>
        <w:rPr>
          <w:rFonts w:ascii="Times New Roman" w:eastAsiaTheme="minorHAnsi" w:hAnsi="Times New Roman" w:cs="Times New Roman"/>
          <w:sz w:val="22"/>
        </w:rPr>
        <w:fldChar w:fldCharType="begin"/>
      </w:r>
      <w:r>
        <w:rPr>
          <w:rFonts w:ascii="Times New Roman" w:eastAsiaTheme="minorHAnsi" w:hAnsi="Times New Roman" w:cs="Times New Roman"/>
          <w:sz w:val="22"/>
        </w:rPr>
        <w:instrText xml:space="preserve"> ADDIN EN.CITE &lt;EndNote&gt;&lt;Cite&gt;&lt;Author&gt;Tan&lt;/Author&gt;&lt;Year&gt;2018&lt;/Year&gt;&lt;RecNum&gt;26&lt;/RecNum&gt;&lt;DisplayText&gt;&lt;style face="superscript" font="Courier New"&gt;26&lt;/style&gt;&lt;/DisplayText&gt;&lt;record&gt;&lt;rec-number&gt;26&lt;/rec-number&gt;&lt;foreign-keys&gt;&lt;key app="EN" db-id="eswvavzsosvad8efwtn5d0vq5zxtxrxe59xd" timestamp="1673893037"&gt;26&lt;/key&gt;&lt;/foreign-keys&gt;&lt;ref-type name="Journal Article"&gt;17&lt;/ref-type&gt;&lt;contributors&gt;&lt;authors&gt;&lt;author&gt;Tan, Bernard&lt;/author&gt;&lt;author&gt;Tan, Alvin&lt;/author&gt;&lt;author&gt;Chan, Yiong Huak&lt;/author&gt;&lt;author&gt;Mok, Yingjuan&lt;/author&gt;&lt;author&gt;Wong, Hang Siang&lt;/author&gt;&lt;author&gt;Hsu, Pon Poh&lt;/author&gt;&lt;/authors&gt;&lt;/contributors&gt;&lt;titles&gt;&lt;title&gt;Adherence to continuous positive airway pressure therapy in Singaporean patients with obstructive sleep apnea&lt;/title&gt;&lt;secondary-title&gt;American journal of otolaryngology&lt;/secondary-title&gt;&lt;/titles&gt;&lt;periodical&gt;&lt;full-title&gt;American journal of otolaryngology&lt;/full-title&gt;&lt;/periodical&gt;&lt;pages&gt;501-506&lt;/pages&gt;&lt;volume&gt;39&lt;/volume&gt;&lt;number&gt;5&lt;/number&gt;&lt;dates&gt;&lt;year&gt;2018&lt;/year&gt;&lt;/dates&gt;&lt;isbn&gt;0196-0709&lt;/isbn&gt;&lt;urls&gt;&lt;/urls&gt;&lt;/record&gt;&lt;/Cite&gt;&lt;/EndNote&gt;</w:instrText>
      </w:r>
      <w:r>
        <w:rPr>
          <w:rFonts w:ascii="Times New Roman" w:eastAsiaTheme="minorHAnsi" w:hAnsi="Times New Roman" w:cs="Times New Roman"/>
          <w:sz w:val="22"/>
        </w:rPr>
        <w:fldChar w:fldCharType="separate"/>
      </w:r>
      <w:r>
        <w:rPr>
          <w:rFonts w:ascii="Courier New" w:eastAsiaTheme="minorHAnsi" w:hAnsi="Courier New" w:cs="Courier New"/>
          <w:noProof/>
          <w:sz w:val="22"/>
          <w:vertAlign w:val="superscript"/>
        </w:rPr>
        <w:t>26</w:t>
      </w:r>
      <w:r>
        <w:rPr>
          <w:rFonts w:ascii="Times New Roman" w:eastAsiaTheme="minorHAnsi" w:hAnsi="Times New Roman" w:cs="Times New Roman"/>
          <w:sz w:val="22"/>
        </w:rPr>
        <w:fldChar w:fldCharType="end"/>
      </w:r>
      <w:r>
        <w:fldChar w:fldCharType="end"/>
      </w:r>
      <w:r>
        <w:rPr>
          <w:rFonts w:ascii="Times New Roman" w:eastAsiaTheme="minorHAnsi" w:hAnsi="Times New Roman" w:cs="Times New Roman"/>
          <w:sz w:val="22"/>
        </w:rPr>
        <w:t xml:space="preserve"> The age of participants in that study ranged from 14 to 89 years old, and the super-aged patients might have felt burdened to start a new CPAP treatment.</w:t>
      </w:r>
      <w:r>
        <w:fldChar w:fldCharType="begin"/>
      </w:r>
      <w:r>
        <w:instrText xml:space="preserve"> HYPERLINK \l "_ENREF_26"\o "Tan, 2018 #26"</w:instrText>
      </w:r>
      <w:r>
        <w:fldChar w:fldCharType="separate"/>
      </w:r>
      <w:r>
        <w:rPr>
          <w:rFonts w:ascii="Times New Roman" w:eastAsiaTheme="minorHAnsi" w:hAnsi="Times New Roman" w:cs="Times New Roman"/>
          <w:sz w:val="22"/>
        </w:rPr>
        <w:fldChar w:fldCharType="begin"/>
      </w:r>
      <w:r>
        <w:rPr>
          <w:rFonts w:ascii="Times New Roman" w:eastAsiaTheme="minorHAnsi" w:hAnsi="Times New Roman" w:cs="Times New Roman"/>
          <w:sz w:val="22"/>
        </w:rPr>
        <w:instrText xml:space="preserve"> ADDIN EN.CITE &lt;EndNote&gt;&lt;Cite&gt;&lt;Author&gt;Tan&lt;/Author&gt;&lt;Year&gt;2018&lt;/Year&gt;&lt;RecNum&gt;26&lt;/RecNum&gt;&lt;DisplayText&gt;&lt;style face="superscript" font="Courier New"&gt;26&lt;/style&gt;&lt;/DisplayText&gt;&lt;record&gt;&lt;rec-number&gt;26&lt;/rec-number&gt;&lt;foreign-keys&gt;&lt;key app="EN" db-id="eswvavzsosvad8efwtn5d0vq5zxtxrxe59xd" timestamp="1673893037"&gt;26&lt;/key&gt;&lt;/foreign-keys&gt;&lt;ref-type name="Journal Article"&gt;17&lt;/ref-type&gt;&lt;contributors&gt;&lt;authors&gt;&lt;author&gt;Tan, Bernard&lt;/author&gt;&lt;author&gt;Tan, Alvin&lt;/author&gt;&lt;author&gt;Chan, Yiong Huak&lt;/author&gt;&lt;author&gt;Mok, Yingjuan&lt;/author&gt;&lt;author&gt;Wong, Hang Siang&lt;/author&gt;&lt;author&gt;Hsu, Pon Poh&lt;/author&gt;&lt;/authors&gt;&lt;/contributors&gt;&lt;titles&gt;&lt;title&gt;Adherence to continuous positive airway pressure therapy in Singaporean patients with obstructive sleep apnea&lt;/title&gt;&lt;secondary-title&gt;American journal of otolaryngology&lt;/secondary-title&gt;&lt;/titles&gt;&lt;periodical&gt;&lt;full-title&gt;American journal of otolaryngology&lt;/full-title&gt;&lt;/periodical&gt;&lt;pages&gt;501-506&lt;/pages&gt;&lt;volume&gt;39&lt;/volume&gt;&lt;number&gt;5&lt;/number&gt;&lt;dates&gt;&lt;year&gt;2018&lt;/year&gt;&lt;/dates&gt;&lt;isbn&gt;0196-0709&lt;/isbn&gt;&lt;urls&gt;&lt;/urls&gt;&lt;/record&gt;&lt;/Cite&gt;&lt;/EndNote&gt;</w:instrText>
      </w:r>
      <w:r>
        <w:rPr>
          <w:rFonts w:ascii="Times New Roman" w:eastAsiaTheme="minorHAnsi" w:hAnsi="Times New Roman" w:cs="Times New Roman"/>
          <w:sz w:val="22"/>
        </w:rPr>
        <w:fldChar w:fldCharType="separate"/>
      </w:r>
      <w:r>
        <w:rPr>
          <w:rFonts w:ascii="Courier New" w:eastAsiaTheme="minorHAnsi" w:hAnsi="Courier New" w:cs="Courier New"/>
          <w:noProof/>
          <w:sz w:val="22"/>
          <w:vertAlign w:val="superscript"/>
        </w:rPr>
        <w:t>26</w:t>
      </w:r>
      <w:r>
        <w:rPr>
          <w:rFonts w:ascii="Times New Roman" w:eastAsiaTheme="minorHAnsi" w:hAnsi="Times New Roman" w:cs="Times New Roman"/>
          <w:sz w:val="22"/>
        </w:rPr>
        <w:fldChar w:fldCharType="end"/>
      </w:r>
      <w:r>
        <w:fldChar w:fldCharType="end"/>
      </w:r>
      <w:r>
        <w:rPr>
          <w:rFonts w:ascii="Times New Roman" w:eastAsiaTheme="minorHAnsi" w:hAnsi="Times New Roman" w:cs="Times New Roman"/>
          <w:sz w:val="22"/>
        </w:rPr>
        <w:t xml:space="preserve"> Conversely, there were studies that showed no age difference between the compliant and non-compliant groups.</w:t>
      </w:r>
      <w:r>
        <w:fldChar w:fldCharType="begin"/>
      </w:r>
      <w:r>
        <w:instrText xml:space="preserve"> HYPERLINK \l "_ENREF_27"\o "Kim, 2015 #27"</w:instrText>
      </w:r>
      <w:r>
        <w:fldChar w:fldCharType="separate"/>
      </w:r>
      <w:r>
        <w:rPr>
          <w:rFonts w:ascii="Times New Roman" w:eastAsiaTheme="minorHAnsi" w:hAnsi="Times New Roman" w:cs="Times New Roman"/>
          <w:sz w:val="22"/>
        </w:rPr>
        <w:fldChar w:fldCharType="begin"/>
      </w:r>
      <w:r>
        <w:rPr>
          <w:rFonts w:ascii="Times New Roman" w:eastAsiaTheme="minorHAnsi" w:hAnsi="Times New Roman" w:cs="Times New Roman"/>
          <w:sz w:val="22"/>
        </w:rPr>
        <w:instrText xml:space="preserve"> ADDIN EN.CITE </w:instrText>
      </w:r>
      <w:r>
        <w:rPr>
          <w:rFonts w:ascii="Times New Roman" w:eastAsiaTheme="minorHAnsi" w:hAnsi="Times New Roman" w:cs="Times New Roman"/>
          <w:sz w:val="22"/>
        </w:rPr>
        <w:fldChar w:fldCharType="begin"/>
      </w:r>
      <w:r>
        <w:rPr>
          <w:rFonts w:ascii="Times New Roman" w:eastAsiaTheme="minorHAnsi" w:hAnsi="Times New Roman" w:cs="Times New Roman"/>
          <w:sz w:val="22"/>
        </w:rPr>
        <w:instrText xml:space="preserve"> ADDIN EN.CITE.DATA </w:instrText>
      </w:r>
      <w:r>
        <w:rPr>
          <w:rFonts w:ascii="Times New Roman" w:eastAsiaTheme="minorHAnsi" w:hAnsi="Times New Roman" w:cs="Times New Roman"/>
          <w:sz w:val="22"/>
        </w:rPr>
        <w:fldChar w:fldCharType="end"/>
      </w:r>
      <w:r>
        <w:rPr>
          <w:rFonts w:ascii="Times New Roman" w:eastAsiaTheme="minorHAnsi" w:hAnsi="Times New Roman" w:cs="Times New Roman"/>
          <w:sz w:val="22"/>
        </w:rPr>
        <w:fldChar w:fldCharType="separate"/>
      </w:r>
      <w:r>
        <w:rPr>
          <w:rFonts w:ascii="Courier New" w:eastAsiaTheme="minorHAnsi" w:hAnsi="Courier New" w:cs="Courier New"/>
          <w:noProof/>
          <w:sz w:val="22"/>
          <w:vertAlign w:val="superscript"/>
        </w:rPr>
        <w:t>27-29</w:t>
      </w:r>
      <w:r>
        <w:rPr>
          <w:rFonts w:ascii="Times New Roman" w:eastAsiaTheme="minorHAnsi" w:hAnsi="Times New Roman" w:cs="Times New Roman"/>
          <w:sz w:val="22"/>
        </w:rPr>
        <w:fldChar w:fldCharType="end"/>
      </w:r>
      <w:r>
        <w:fldChar w:fldCharType="end"/>
      </w:r>
      <w:r>
        <w:rPr>
          <w:rFonts w:ascii="Times New Roman" w:eastAsiaTheme="minorHAnsi" w:hAnsi="Times New Roman" w:cs="Times New Roman"/>
          <w:sz w:val="22"/>
        </w:rPr>
        <w:t xml:space="preserve"> In our study, the proportion of patients with hypertension was high in the compliant group. It is thought that individuals with high blood pressure are more diligent in using CPAP because they feel the need for OSA treatment, but </w:t>
      </w:r>
      <w:r>
        <w:rPr>
          <w:rFonts w:ascii="Times New Roman" w:eastAsiaTheme="minorHAnsi" w:hAnsi="Times New Roman" w:cs="Times New Roman"/>
          <w:sz w:val="22"/>
        </w:rPr>
        <w:t>previous studies have shown inconsistent findings on the relationship between hypertension and CPAP compliance. While there was a study in which the history of hypertension was higher in the CPAP-compliant group,</w:t>
      </w:r>
      <w:r>
        <w:fldChar w:fldCharType="begin"/>
      </w:r>
      <w:r>
        <w:instrText xml:space="preserve"> HYPERLINK \l "_ENREF_30"\o "Campos-Rodriguez, 2016 #30"</w:instrText>
      </w:r>
      <w:r>
        <w:fldChar w:fldCharType="separate"/>
      </w:r>
      <w:r>
        <w:rPr>
          <w:rFonts w:ascii="Times New Roman" w:eastAsiaTheme="minorHAnsi" w:hAnsi="Times New Roman" w:cs="Times New Roman"/>
          <w:sz w:val="22"/>
        </w:rPr>
        <w:fldChar w:fldCharType="begin"/>
      </w:r>
      <w:r>
        <w:rPr>
          <w:rFonts w:ascii="Times New Roman" w:eastAsiaTheme="minorHAnsi" w:hAnsi="Times New Roman" w:cs="Times New Roman"/>
          <w:sz w:val="22"/>
        </w:rPr>
        <w:instrText xml:space="preserve"> ADDIN EN.CITE &lt;EndNote&gt;&lt;Cite&gt;&lt;Author&gt;Campos-Rodriguez&lt;/Author&gt;&lt;Year&gt;2016&lt;/Year&gt;&lt;RecNum&gt;30&lt;/RecNum&gt;&lt;DisplayText&gt;&lt;style face="superscript" font="Courier New"&gt;30&lt;/style&gt;&lt;/DisplayText&gt;&lt;record&gt;&lt;rec-number&gt;30&lt;/rec-number&gt;&lt;foreign-keys&gt;&lt;key app="EN" db-id="eswvavzsosvad8efwtn5d0vq5zxtxrxe59xd" timestamp="1673893037"&gt;30&lt;/key&gt;&lt;/foreign-keys&gt;&lt;ref-type name="Journal Article"&gt;17&lt;/ref-type&gt;&lt;contributors&gt;&lt;authors&gt;&lt;author&gt;Campos-Rodriguez, Francisco&lt;/author&gt;&lt;author&gt;Martinez-Alonso, Montserrat&lt;/author&gt;&lt;author&gt;Sanchez-de-la-Torre, Manuel&lt;/author&gt;&lt;author&gt;Barbe, Ferran&lt;/author&gt;&lt;author&gt;Spanish Sleep Network&lt;/author&gt;&lt;/authors&gt;&lt;/contributors&gt;&lt;titles&gt;&lt;title&gt;Long-term adherence to continuous positive airway pressure therapy in non-sleepy sleep apnea patients&lt;/title&gt;&lt;secondary-title&gt;Sleep medicine&lt;/secondary-title&gt;&lt;/titles&gt;&lt;periodical&gt;&lt;full-title&gt;Sleep medicine&lt;/full-title&gt;&lt;/periodical&gt;&lt;pages&gt;1-6&lt;/pages&gt;&lt;volume&gt;17&lt;/volume&gt;&lt;dates&gt;&lt;year&gt;2016&lt;/year&gt;&lt;/dates&gt;&lt;isbn&gt;1389-9457&lt;/isbn&gt;&lt;urls&gt;&lt;/urls&gt;&lt;/record&gt;&lt;/Cite&gt;&lt;/EndNote&gt;</w:instrText>
      </w:r>
      <w:r>
        <w:rPr>
          <w:rFonts w:ascii="Times New Roman" w:eastAsiaTheme="minorHAnsi" w:hAnsi="Times New Roman" w:cs="Times New Roman"/>
          <w:sz w:val="22"/>
        </w:rPr>
        <w:fldChar w:fldCharType="separate"/>
      </w:r>
      <w:r>
        <w:rPr>
          <w:rFonts w:ascii="Courier New" w:eastAsiaTheme="minorHAnsi" w:hAnsi="Courier New" w:cs="Courier New"/>
          <w:noProof/>
          <w:sz w:val="22"/>
          <w:vertAlign w:val="superscript"/>
        </w:rPr>
        <w:t>30</w:t>
      </w:r>
      <w:r>
        <w:rPr>
          <w:rFonts w:ascii="Times New Roman" w:eastAsiaTheme="minorHAnsi" w:hAnsi="Times New Roman" w:cs="Times New Roman"/>
          <w:sz w:val="22"/>
        </w:rPr>
        <w:fldChar w:fldCharType="end"/>
      </w:r>
      <w:r>
        <w:fldChar w:fldCharType="end"/>
      </w:r>
      <w:r>
        <w:rPr>
          <w:rFonts w:ascii="Times New Roman" w:eastAsiaTheme="minorHAnsi" w:hAnsi="Times New Roman" w:cs="Times New Roman"/>
          <w:sz w:val="22"/>
        </w:rPr>
        <w:t xml:space="preserve"> there were studies in which hypertension was not associated with CPAP adherence,</w:t>
      </w:r>
      <w:r>
        <w:fldChar w:fldCharType="begin"/>
      </w:r>
      <w:r>
        <w:instrText xml:space="preserve"> HYPERLINK \l "_ENREF_31"\o "Nsair, 2019 #31"</w:instrText>
      </w:r>
      <w:r>
        <w:fldChar w:fldCharType="separate"/>
      </w:r>
      <w:r>
        <w:rPr>
          <w:rFonts w:ascii="Times New Roman" w:eastAsiaTheme="minorHAnsi" w:hAnsi="Times New Roman" w:cs="Times New Roman"/>
          <w:sz w:val="22"/>
        </w:rPr>
        <w:fldChar w:fldCharType="begin"/>
      </w:r>
      <w:r>
        <w:rPr>
          <w:rFonts w:ascii="Times New Roman" w:eastAsiaTheme="minorHAnsi" w:hAnsi="Times New Roman" w:cs="Times New Roman"/>
          <w:sz w:val="22"/>
        </w:rPr>
        <w:instrText xml:space="preserve"> ADDIN EN.CITE </w:instrText>
      </w:r>
      <w:r>
        <w:rPr>
          <w:rFonts w:ascii="Times New Roman" w:eastAsiaTheme="minorHAnsi" w:hAnsi="Times New Roman" w:cs="Times New Roman"/>
          <w:sz w:val="22"/>
        </w:rPr>
        <w:fldChar w:fldCharType="begin"/>
      </w:r>
      <w:r>
        <w:rPr>
          <w:rFonts w:ascii="Times New Roman" w:eastAsiaTheme="minorHAnsi" w:hAnsi="Times New Roman" w:cs="Times New Roman"/>
          <w:sz w:val="22"/>
        </w:rPr>
        <w:instrText xml:space="preserve"> ADDIN EN.CITE.DATA </w:instrText>
      </w:r>
      <w:r>
        <w:rPr>
          <w:rFonts w:ascii="Times New Roman" w:eastAsiaTheme="minorHAnsi" w:hAnsi="Times New Roman" w:cs="Times New Roman"/>
          <w:sz w:val="22"/>
        </w:rPr>
        <w:fldChar w:fldCharType="end"/>
      </w:r>
      <w:r>
        <w:rPr>
          <w:rFonts w:ascii="Times New Roman" w:eastAsiaTheme="minorHAnsi" w:hAnsi="Times New Roman" w:cs="Times New Roman"/>
          <w:sz w:val="22"/>
        </w:rPr>
        <w:fldChar w:fldCharType="separate"/>
      </w:r>
      <w:r>
        <w:rPr>
          <w:rFonts w:ascii="Courier New" w:eastAsiaTheme="minorHAnsi" w:hAnsi="Courier New" w:cs="Courier New"/>
          <w:noProof/>
          <w:sz w:val="22"/>
          <w:vertAlign w:val="superscript"/>
        </w:rPr>
        <w:t>31-33</w:t>
      </w:r>
      <w:r>
        <w:rPr>
          <w:rFonts w:ascii="Times New Roman" w:eastAsiaTheme="minorHAnsi" w:hAnsi="Times New Roman" w:cs="Times New Roman"/>
          <w:sz w:val="22"/>
        </w:rPr>
        <w:fldChar w:fldCharType="end"/>
      </w:r>
      <w:r>
        <w:fldChar w:fldCharType="end"/>
      </w:r>
      <w:r>
        <w:rPr>
          <w:rFonts w:ascii="Times New Roman" w:eastAsiaTheme="minorHAnsi" w:hAnsi="Times New Roman" w:cs="Times New Roman"/>
          <w:sz w:val="22"/>
        </w:rPr>
        <w:t xml:space="preserve"> and other studies that showed an increased risk of non-adherence to CPAP in patients with hypertension.</w:t>
      </w:r>
      <w:r>
        <w:fldChar w:fldCharType="begin"/>
      </w:r>
      <w:r>
        <w:instrText xml:space="preserve"> HYPERLINK \l "_ENREF_34"\o "Palm, 2018 #34"</w:instrText>
      </w:r>
      <w:r>
        <w:fldChar w:fldCharType="separate"/>
      </w:r>
      <w:r>
        <w:rPr>
          <w:rFonts w:ascii="Times New Roman" w:eastAsiaTheme="minorHAnsi" w:hAnsi="Times New Roman" w:cs="Times New Roman"/>
          <w:sz w:val="22"/>
        </w:rPr>
        <w:fldChar w:fldCharType="begin"/>
      </w:r>
      <w:r>
        <w:rPr>
          <w:rFonts w:ascii="Times New Roman" w:eastAsiaTheme="minorHAnsi" w:hAnsi="Times New Roman" w:cs="Times New Roman"/>
          <w:sz w:val="22"/>
        </w:rPr>
        <w:instrText xml:space="preserve"> ADDIN EN.CITE </w:instrText>
      </w:r>
      <w:r>
        <w:rPr>
          <w:rFonts w:ascii="Times New Roman" w:eastAsiaTheme="minorHAnsi" w:hAnsi="Times New Roman" w:cs="Times New Roman"/>
          <w:sz w:val="22"/>
        </w:rPr>
        <w:fldChar w:fldCharType="begin"/>
      </w:r>
      <w:r>
        <w:rPr>
          <w:rFonts w:ascii="Times New Roman" w:eastAsiaTheme="minorHAnsi" w:hAnsi="Times New Roman" w:cs="Times New Roman"/>
          <w:sz w:val="22"/>
        </w:rPr>
        <w:instrText xml:space="preserve"> ADDIN EN.CITE.DATA </w:instrText>
      </w:r>
      <w:r>
        <w:rPr>
          <w:rFonts w:ascii="Times New Roman" w:eastAsiaTheme="minorHAnsi" w:hAnsi="Times New Roman" w:cs="Times New Roman"/>
          <w:sz w:val="22"/>
        </w:rPr>
        <w:fldChar w:fldCharType="end"/>
      </w:r>
      <w:r>
        <w:rPr>
          <w:rFonts w:ascii="Times New Roman" w:eastAsiaTheme="minorHAnsi" w:hAnsi="Times New Roman" w:cs="Times New Roman"/>
          <w:sz w:val="22"/>
        </w:rPr>
        <w:fldChar w:fldCharType="separate"/>
      </w:r>
      <w:r>
        <w:rPr>
          <w:rFonts w:ascii="Courier New" w:eastAsiaTheme="minorHAnsi" w:hAnsi="Courier New" w:cs="Courier New"/>
          <w:noProof/>
          <w:sz w:val="22"/>
          <w:vertAlign w:val="superscript"/>
        </w:rPr>
        <w:t>34</w:t>
      </w:r>
      <w:r>
        <w:rPr>
          <w:rFonts w:ascii="Times New Roman" w:eastAsiaTheme="minorHAnsi" w:hAnsi="Times New Roman" w:cs="Times New Roman"/>
          <w:sz w:val="22"/>
        </w:rPr>
        <w:fldChar w:fldCharType="end"/>
      </w:r>
      <w:r>
        <w:fldChar w:fldCharType="end"/>
      </w:r>
      <w:r>
        <w:rPr>
          <w:rFonts w:ascii="Times New Roman" w:eastAsiaTheme="minorHAnsi" w:hAnsi="Times New Roman" w:cs="Times New Roman"/>
          <w:sz w:val="22"/>
        </w:rPr>
        <w:t xml:space="preserve"> </w:t>
      </w:r>
    </w:p>
    <w:p>
      <w:pPr>
        <w:jc w:val="left"/>
        <w:spacing w:line="480" w:lineRule="auto"/>
        <w:rPr>
          <w:rFonts w:ascii="Times New Roman" w:eastAsiaTheme="minorHAnsi" w:hAnsi="Times New Roman" w:cs="Times New Roman"/>
          <w:sz w:val="22"/>
        </w:rPr>
      </w:pPr>
      <w:r>
        <w:rPr>
          <w:rFonts w:ascii="Times New Roman" w:eastAsiaTheme="minorHAnsi" w:hAnsi="Times New Roman" w:cs="Times New Roman"/>
          <w:sz w:val="22"/>
        </w:rPr>
        <w:t>Among the clinical scales, only the overall sleep quality item on the PSQI showed a significant difference between the compliant and the non-compliant groups.</w:t>
      </w:r>
      <w:r>
        <w:fldChar w:fldCharType="begin"/>
      </w:r>
      <w:r>
        <w:instrText xml:space="preserve"> HYPERLINK \l "_ENREF_10"\o "Choi, 2011 #10"</w:instrText>
      </w:r>
      <w:r>
        <w:fldChar w:fldCharType="separate"/>
      </w:r>
      <w:r>
        <w:rPr>
          <w:rFonts w:ascii="Times New Roman" w:eastAsiaTheme="minorHAnsi" w:hAnsi="Times New Roman" w:cs="Times New Roman"/>
          <w:sz w:val="22"/>
        </w:rPr>
        <w:fldChar w:fldCharType="begin"/>
      </w:r>
      <w:r>
        <w:rPr>
          <w:rFonts w:ascii="Times New Roman" w:eastAsiaTheme="minorHAnsi" w:hAnsi="Times New Roman" w:cs="Times New Roman"/>
          <w:sz w:val="22"/>
        </w:rPr>
        <w:instrText xml:space="preserve"> ADDIN EN.CITE &lt;EndNote&gt;&lt;Cite&gt;&lt;Author&gt;Choi&lt;/Author&gt;&lt;Year&gt;2011&lt;/Year&gt;&lt;RecNum&gt;10&lt;/RecNum&gt;&lt;DisplayText&gt;&lt;style face="superscript" font="Courier New"&gt;10&lt;/style&gt;&lt;/DisplayText&gt;&lt;record&gt;&lt;rec-number&gt;10&lt;/rec-number&gt;&lt;foreign-keys&gt;&lt;key app="EN" db-id="eswvavzsosvad8efwtn5d0vq5zxtxrxe59xd" timestamp="1673893037"&gt;10&lt;/key&gt;&lt;/foreign-keys&gt;&lt;ref-type name="Journal Article"&gt;17&lt;/ref-type&gt;&lt;contributors&gt;&lt;authors&gt;&lt;author&gt;Choi, Ji-Ae&lt;/author&gt;&lt;author&gt;Yoon, In-Young&lt;/author&gt;&lt;author&gt;Han, Eun-Gyeong&lt;/author&gt;&lt;author&gt;Lee, Sangdon&lt;/author&gt;&lt;/authors&gt;&lt;/contributors&gt;&lt;titles&gt;&lt;title&gt;Subjective and objective CPAP compliance in patients with obstructive sleep apnea syndrome&lt;/title&gt;&lt;secondary-title&gt;Sleep Medicine Research&lt;/secondary-title&gt;&lt;/titles&gt;&lt;periodical&gt;&lt;full-title&gt;Sleep Medicine Research&lt;/full-title&gt;&lt;/periodical&gt;&lt;pages&gt;63-68&lt;/pages&gt;&lt;volume&gt;2&lt;/volume&gt;&lt;number&gt;2&lt;/number&gt;&lt;dates&gt;&lt;year&gt;2011&lt;/year&gt;&lt;/dates&gt;&lt;isbn&gt;2093-9175&lt;/isbn&gt;&lt;urls&gt;&lt;/urls&gt;&lt;/record&gt;&lt;/Cite&gt;&lt;/EndNote&gt;</w:instrText>
      </w:r>
      <w:r>
        <w:rPr>
          <w:rFonts w:ascii="Times New Roman" w:eastAsiaTheme="minorHAnsi" w:hAnsi="Times New Roman" w:cs="Times New Roman"/>
          <w:sz w:val="22"/>
        </w:rPr>
        <w:fldChar w:fldCharType="separate"/>
      </w:r>
      <w:r>
        <w:rPr>
          <w:rFonts w:ascii="Courier New" w:eastAsiaTheme="minorHAnsi" w:hAnsi="Courier New" w:cs="Courier New"/>
          <w:noProof/>
          <w:sz w:val="22"/>
          <w:vertAlign w:val="superscript"/>
        </w:rPr>
        <w:t>10</w:t>
      </w:r>
      <w:r>
        <w:rPr>
          <w:rFonts w:ascii="Times New Roman" w:eastAsiaTheme="minorHAnsi" w:hAnsi="Times New Roman" w:cs="Times New Roman"/>
          <w:sz w:val="22"/>
        </w:rPr>
        <w:fldChar w:fldCharType="end"/>
      </w:r>
      <w:r>
        <w:fldChar w:fldCharType="end"/>
      </w:r>
      <w:r>
        <w:rPr>
          <w:rFonts w:ascii="Times New Roman" w:eastAsiaTheme="minorHAnsi" w:hAnsi="Times New Roman" w:cs="Times New Roman"/>
          <w:sz w:val="22"/>
        </w:rPr>
        <w:t xml:space="preserve"> By contrast, the effect of insomnia severity on CPAP compliance has been previously reported several times. A German study showed that the Regensburg Insomnia Scale predicted 6-month CPAP compliance.</w:t>
      </w:r>
      <w:r>
        <w:fldChar w:fldCharType="begin"/>
      </w:r>
      <w:r>
        <w:instrText xml:space="preserve"> HYPERLINK \l "_ENREF_12"\o "Pieh, 2013 #12"</w:instrText>
      </w:r>
      <w:r>
        <w:fldChar w:fldCharType="separate"/>
      </w:r>
      <w:r>
        <w:rPr>
          <w:rFonts w:ascii="Times New Roman" w:eastAsiaTheme="minorHAnsi" w:hAnsi="Times New Roman" w:cs="Times New Roman"/>
          <w:sz w:val="22"/>
        </w:rPr>
        <w:fldChar w:fldCharType="begin"/>
      </w:r>
      <w:r>
        <w:rPr>
          <w:rFonts w:ascii="Times New Roman" w:eastAsiaTheme="minorHAnsi" w:hAnsi="Times New Roman" w:cs="Times New Roman"/>
          <w:sz w:val="22"/>
        </w:rPr>
        <w:instrText xml:space="preserve"> ADDIN EN.CITE &lt;EndNote&gt;&lt;Cite&gt;&lt;Author&gt;Pieh&lt;/Author&gt;&lt;Year&gt;2013&lt;/Year&gt;&lt;RecNum&gt;12&lt;/RecNum&gt;&lt;DisplayText&gt;&lt;style face="superscript" font="Courier New"&gt;12&lt;/style&gt;&lt;/DisplayText&gt;&lt;record&gt;&lt;rec-number&gt;12&lt;/rec-number&gt;&lt;foreign-keys&gt;&lt;key app="EN" db-id="eswvavzsosvad8efwtn5d0vq5zxtxrxe59xd" timestamp="1673893037"&gt;12&lt;/key&gt;&lt;/foreign-keys&gt;&lt;ref-type name="Journal Article"&gt;17&lt;/ref-type&gt;&lt;contributors&gt;&lt;authors&gt;&lt;author&gt;Pieh, Christoph&lt;/author&gt;&lt;author&gt;Bach, Magdalena&lt;/author&gt;&lt;author&gt;Popp, Roland&lt;/author&gt;&lt;author&gt;Jara, Cecilia&lt;/author&gt;&lt;author&gt;Crönlein, Tatjana&lt;/author&gt;&lt;author&gt;Hajak, Göran&lt;/author&gt;&lt;author&gt;Geisler, Peter&lt;/author&gt;&lt;/authors&gt;&lt;/contributors&gt;&lt;titles&gt;&lt;title&gt;Insomnia symptoms influence CPAP compliance&lt;/title&gt;&lt;secondary-title&gt;Sleep and Breathing&lt;/secondary-title&gt;&lt;/titles&gt;&lt;periodical&gt;&lt;full-title&gt;Sleep and Breathing&lt;/full-title&gt;&lt;/periodical&gt;&lt;pages&gt;99-104&lt;/pages&gt;&lt;volume&gt;17&lt;/volume&gt;&lt;number&gt;1&lt;/number&gt;&lt;dates&gt;&lt;year&gt;2013&lt;/year&gt;&lt;/dates&gt;&lt;isbn&gt;1522-1709&lt;/isbn&gt;&lt;urls&gt;&lt;related-urls&gt;&lt;url&gt;https://link.springer.com/content/pdf/10.1007/s11325-012-0655-9.pdf&lt;/url&gt;&lt;/related-urls&gt;&lt;/urls&gt;&lt;/record&gt;&lt;/Cite&gt;&lt;/EndNote&gt;</w:instrText>
      </w:r>
      <w:r>
        <w:rPr>
          <w:rFonts w:ascii="Times New Roman" w:eastAsiaTheme="minorHAnsi" w:hAnsi="Times New Roman" w:cs="Times New Roman"/>
          <w:sz w:val="22"/>
        </w:rPr>
        <w:fldChar w:fldCharType="separate"/>
      </w:r>
      <w:r>
        <w:rPr>
          <w:rFonts w:ascii="Courier New" w:eastAsiaTheme="minorHAnsi" w:hAnsi="Courier New" w:cs="Courier New"/>
          <w:noProof/>
          <w:sz w:val="22"/>
          <w:vertAlign w:val="superscript"/>
        </w:rPr>
        <w:t>12</w:t>
      </w:r>
      <w:r>
        <w:rPr>
          <w:rFonts w:ascii="Times New Roman" w:eastAsiaTheme="minorHAnsi" w:hAnsi="Times New Roman" w:cs="Times New Roman"/>
          <w:sz w:val="22"/>
        </w:rPr>
        <w:fldChar w:fldCharType="end"/>
      </w:r>
      <w:r>
        <w:fldChar w:fldCharType="end"/>
      </w:r>
      <w:r>
        <w:rPr>
          <w:rFonts w:ascii="Times New Roman" w:eastAsiaTheme="minorHAnsi" w:hAnsi="Times New Roman" w:cs="Times New Roman"/>
          <w:sz w:val="22"/>
        </w:rPr>
        <w:t xml:space="preserve"> A study on US Hispanic veterans found that insomnia was associated with poor adherence to CPAP,</w:t>
      </w:r>
      <w:r>
        <w:fldChar w:fldCharType="begin"/>
      </w:r>
      <w:r>
        <w:instrText xml:space="preserve"> HYPERLINK \l "_ENREF_35"\o "Wallace, 2013 #35"</w:instrText>
      </w:r>
      <w:r>
        <w:fldChar w:fldCharType="separate"/>
      </w:r>
      <w:r>
        <w:rPr>
          <w:rFonts w:ascii="Times New Roman" w:eastAsiaTheme="minorHAnsi" w:hAnsi="Times New Roman" w:cs="Times New Roman"/>
          <w:sz w:val="22"/>
        </w:rPr>
        <w:fldChar w:fldCharType="begin"/>
      </w:r>
      <w:r>
        <w:rPr>
          <w:rFonts w:ascii="Times New Roman" w:eastAsiaTheme="minorHAnsi" w:hAnsi="Times New Roman" w:cs="Times New Roman"/>
          <w:sz w:val="22"/>
        </w:rPr>
        <w:instrText xml:space="preserve"> ADDIN EN.CITE &lt;EndNote&gt;&lt;Cite&gt;&lt;Author&gt;Wallace&lt;/Author&gt;&lt;Year&gt;2013&lt;/Year&gt;&lt;RecNum&gt;35&lt;/RecNum&gt;&lt;DisplayText&gt;&lt;style face="superscript" font="Courier New"&gt;35&lt;/style&gt;&lt;/DisplayText&gt;&lt;record&gt;&lt;rec-number&gt;35&lt;/rec-number&gt;&lt;foreign-keys&gt;&lt;key app="EN" db-id="eswvavzsosvad8efwtn5d0vq5zxtxrxe59xd" timestamp="1673893037"&gt;35&lt;/key&gt;&lt;/foreign-keys&gt;&lt;ref-type name="Journal Article"&gt;17&lt;/ref-type&gt;&lt;contributors&gt;&lt;authors&gt;&lt;author&gt;Wallace, DM&lt;/author&gt;&lt;author&gt;Vargas, SS&lt;/author&gt;&lt;author&gt;Schwartz, SJ&lt;/author&gt;&lt;author&gt;Aloia, MS&lt;/author&gt;&lt;author&gt;Shafazand, S&lt;/author&gt;&lt;/authors&gt;&lt;/contributors&gt;&lt;titles&gt;&lt;title&gt;Determinants of continuous positive airway pressure adherence in a sleep clinic cohort of South Florida Hispanic veterans&lt;/title&gt;&lt;secondary-title&gt;Sleep and breathing&lt;/secondary-title&gt;&lt;/titles&gt;&lt;periodical&gt;&lt;full-title&gt;Sleep and Breathing&lt;/full-title&gt;&lt;/periodical&gt;&lt;pages&gt;351-363&lt;/pages&gt;&lt;volume&gt;17&lt;/volume&gt;&lt;number&gt;1&lt;/number&gt;&lt;dates&gt;&lt;year&gt;2013&lt;/year&gt;&lt;/dates&gt;&lt;isbn&gt;1522-1709&lt;/isbn&gt;&lt;urls&gt;&lt;related-urls&gt;&lt;url&gt;https://link.springer.com/content/pdf/10.1007/s11325-012-0702-6.pdf&lt;/url&gt;&lt;/related-urls&gt;&lt;/urls&gt;&lt;/record&gt;&lt;/Cite&gt;&lt;/EndNote&gt;</w:instrText>
      </w:r>
      <w:r>
        <w:rPr>
          <w:rFonts w:ascii="Times New Roman" w:eastAsiaTheme="minorHAnsi" w:hAnsi="Times New Roman" w:cs="Times New Roman"/>
          <w:sz w:val="22"/>
        </w:rPr>
        <w:fldChar w:fldCharType="separate"/>
      </w:r>
      <w:r>
        <w:rPr>
          <w:rFonts w:ascii="Courier New" w:eastAsiaTheme="minorHAnsi" w:hAnsi="Courier New" w:cs="Courier New"/>
          <w:noProof/>
          <w:sz w:val="22"/>
          <w:vertAlign w:val="superscript"/>
        </w:rPr>
        <w:t>35</w:t>
      </w:r>
      <w:r>
        <w:rPr>
          <w:rFonts w:ascii="Times New Roman" w:eastAsiaTheme="minorHAnsi" w:hAnsi="Times New Roman" w:cs="Times New Roman"/>
          <w:sz w:val="22"/>
        </w:rPr>
        <w:fldChar w:fldCharType="end"/>
      </w:r>
      <w:r>
        <w:fldChar w:fldCharType="end"/>
      </w:r>
      <w:r>
        <w:rPr>
          <w:rFonts w:ascii="Times New Roman" w:eastAsiaTheme="minorHAnsi" w:hAnsi="Times New Roman" w:cs="Times New Roman"/>
          <w:sz w:val="22"/>
        </w:rPr>
        <w:t xml:space="preserve"> and a French study showed that sleep initiation and maintenance disorder were associated with long-term compliance of CPAP.</w:t>
      </w:r>
      <w:r>
        <w:fldChar w:fldCharType="begin"/>
      </w:r>
      <w:r>
        <w:instrText xml:space="preserve"> HYPERLINK \l "_ENREF_14"\o "Philip, 2018 #14"</w:instrText>
      </w:r>
      <w:r>
        <w:fldChar w:fldCharType="separate"/>
      </w:r>
      <w:r>
        <w:rPr>
          <w:rFonts w:ascii="Times New Roman" w:eastAsiaTheme="minorHAnsi" w:hAnsi="Times New Roman" w:cs="Times New Roman"/>
          <w:sz w:val="22"/>
        </w:rPr>
        <w:fldChar w:fldCharType="begin"/>
      </w:r>
      <w:r>
        <w:rPr>
          <w:rFonts w:ascii="Times New Roman" w:eastAsiaTheme="minorHAnsi" w:hAnsi="Times New Roman" w:cs="Times New Roman"/>
          <w:sz w:val="22"/>
        </w:rPr>
        <w:instrText xml:space="preserve"> ADDIN EN.CITE &lt;EndNote&gt;&lt;Cite&gt;&lt;Author&gt;Philip&lt;/Author&gt;&lt;Year&gt;2018&lt;/Year&gt;&lt;RecNum&gt;14&lt;/RecNum&gt;&lt;DisplayText&gt;&lt;style face="superscript" font="Courier New"&gt;14&lt;/style&gt;&lt;/DisplayText&gt;&lt;record&gt;&lt;rec-number&gt;14&lt;/rec-number&gt;&lt;foreign-keys&gt;&lt;key app="EN" db-id="eswvavzsosvad8efwtn5d0vq5zxtxrxe59xd" timestamp="1673893037"&gt;14&lt;/key&gt;&lt;/foreign-keys&gt;&lt;ref-type name="Journal Article"&gt;17&lt;/ref-type&gt;&lt;contributors&gt;&lt;authors&gt;&lt;author&gt;Philip, Pierre&lt;/author&gt;&lt;author&gt;Bioulac, Stéphanie&lt;/author&gt;&lt;author&gt;Altena, Elemarije&lt;/author&gt;&lt;author&gt;Morin, Charles M&lt;/author&gt;&lt;author&gt;Ghorayeb, Imad&lt;/author&gt;&lt;author&gt;Coste, Olivier&lt;/author&gt;&lt;author&gt;Monteyrol, Pierre-Jean&lt;/author&gt;&lt;author&gt;Micoulaud-Franchi, Jean-Arthur&lt;/author&gt;&lt;/authors&gt;&lt;/contributors&gt;&lt;titles&gt;&lt;title&gt;Specific insomnia symptoms and self-efficacy explain CPAP compliance in a sample of OSAS patients&lt;/title&gt;&lt;secondary-title&gt;PLoS One&lt;/secondary-title&gt;&lt;/titles&gt;&lt;periodical&gt;&lt;full-title&gt;PLoS One&lt;/full-title&gt;&lt;/periodical&gt;&lt;pages&gt;e0195343&lt;/pages&gt;&lt;volume&gt;13&lt;/volume&gt;&lt;number&gt;4&lt;/number&gt;&lt;dates&gt;&lt;year&gt;2018&lt;/year&gt;&lt;/dates&gt;&lt;isbn&gt;1932-6203&lt;/isbn&gt;&lt;urls&gt;&lt;related-urls&gt;&lt;url&gt;https://www.ncbi.nlm.nih.gov/pmc/articles/PMC5884569/pdf/pone.0195343.pdf&lt;/url&gt;&lt;/related-urls&gt;&lt;/urls&gt;&lt;/record&gt;&lt;/Cite&gt;&lt;/EndNote&gt;</w:instrText>
      </w:r>
      <w:r>
        <w:rPr>
          <w:rFonts w:ascii="Times New Roman" w:eastAsiaTheme="minorHAnsi" w:hAnsi="Times New Roman" w:cs="Times New Roman"/>
          <w:sz w:val="22"/>
        </w:rPr>
        <w:fldChar w:fldCharType="separate"/>
      </w:r>
      <w:r>
        <w:rPr>
          <w:rFonts w:ascii="Courier New" w:eastAsiaTheme="minorHAnsi" w:hAnsi="Courier New" w:cs="Courier New"/>
          <w:noProof/>
          <w:sz w:val="22"/>
          <w:vertAlign w:val="superscript"/>
        </w:rPr>
        <w:t>14</w:t>
      </w:r>
      <w:r>
        <w:rPr>
          <w:rFonts w:ascii="Times New Roman" w:eastAsiaTheme="minorHAnsi" w:hAnsi="Times New Roman" w:cs="Times New Roman"/>
          <w:sz w:val="22"/>
        </w:rPr>
        <w:fldChar w:fldCharType="end"/>
      </w:r>
      <w:r>
        <w:fldChar w:fldCharType="end"/>
      </w:r>
      <w:r>
        <w:rPr>
          <w:rFonts w:ascii="Times New Roman" w:eastAsiaTheme="minorHAnsi" w:hAnsi="Times New Roman" w:cs="Times New Roman"/>
          <w:sz w:val="22"/>
        </w:rPr>
        <w:t xml:space="preserve"> In this study, the difference between the two groups on the ISI total score, and the ISI dissatisfaction and noticeability items, which are measures of </w:t>
      </w:r>
      <w:r>
        <w:rPr>
          <w:rFonts w:ascii="Times New Roman" w:eastAsiaTheme="minorHAnsi" w:hAnsi="Times New Roman" w:cs="Times New Roman"/>
          <w:sz w:val="22"/>
        </w:rPr>
        <w:t xml:space="preserve">insomnia severity, had </w:t>
      </w:r>
      <w:r>
        <w:rPr>
          <w:rFonts w:ascii="Times New Roman" w:eastAsiaTheme="minorHAnsi" w:hAnsi="Times New Roman" w:cs="Times New Roman"/>
          <w:i/>
          <w:sz w:val="22"/>
          <w:kern w:val="0"/>
        </w:rPr>
        <w:t>P</w:t>
      </w:r>
      <w:r>
        <w:rPr>
          <w:rFonts w:ascii="Times New Roman" w:eastAsiaTheme="minorHAnsi" w:hAnsi="Times New Roman" w:cs="Times New Roman"/>
          <w:sz w:val="22"/>
        </w:rPr>
        <w:t xml:space="preserve"> values &lt; 0.1. Therefore, they were included in the regression equation as potential variables to predict </w:t>
      </w:r>
      <w:r>
        <w:rPr>
          <w:rFonts w:ascii="Times New Roman" w:eastAsiaTheme="minorHAnsi" w:hAnsi="Times New Roman" w:cs="Times New Roman"/>
          <w:sz w:val="22"/>
        </w:rPr>
        <w:t>compliance</w:t>
      </w:r>
      <w:r>
        <w:rPr>
          <w:rFonts w:ascii="Times New Roman" w:eastAsiaTheme="minorHAnsi" w:hAnsi="Times New Roman" w:cs="Times New Roman"/>
          <w:sz w:val="22"/>
        </w:rPr>
        <w:t>, but</w:t>
      </w:r>
      <w:r>
        <w:rPr>
          <w:rFonts w:ascii="Times New Roman" w:eastAsiaTheme="minorHAnsi" w:hAnsi="Times New Roman" w:cs="Times New Roman"/>
          <w:sz w:val="22"/>
        </w:rPr>
        <w:t xml:space="preserve"> were ultimately not found to be significant predictors. Additionally, some studies demonstrated a significant association between ESS score and CPAP compliance,</w:t>
      </w:r>
      <w:r>
        <w:rPr>
          <w:rFonts w:ascii="Times New Roman" w:eastAsiaTheme="minorHAnsi" w:hAnsi="Times New Roman" w:cs="Times New Roman"/>
          <w:sz w:val="22"/>
        </w:rPr>
        <w:fldChar w:fldCharType="begin"/>
      </w:r>
      <w:r>
        <w:rPr>
          <w:rFonts w:ascii="Times New Roman" w:eastAsiaTheme="minorHAnsi" w:hAnsi="Times New Roman" w:cs="Times New Roman"/>
          <w:sz w:val="22"/>
        </w:rPr>
        <w:instrText xml:space="preserve"> ADDIN EN.CITE &lt;EndNote&gt;&lt;Cite&gt;&lt;Author&gt;Tan&lt;/Author&gt;&lt;Year&gt;2018&lt;/Year&gt;&lt;RecNum&gt;26&lt;/RecNum&gt;&lt;DisplayText&gt;&lt;style face="superscript" font="Courier New"&gt;9,26&lt;/style&gt;&lt;/DisplayText&gt;&lt;record&gt;&lt;rec-number&gt;26&lt;/rec-number&gt;&lt;foreign-keys&gt;&lt;key app="EN" db-id="eswvavzsosvad8efwtn5d0vq5zxtxrxe59xd" timestamp="1673893037"&gt;26&lt;/key&gt;&lt;/foreign-keys&gt;&lt;ref-type name="Journal Article"&gt;17&lt;/ref-type&gt;&lt;contributors&gt;&lt;authors&gt;&lt;author&gt;Tan, Bernard&lt;/author&gt;&lt;author&gt;Tan, Alvin&lt;/author&gt;&lt;author&gt;Chan, Yiong Huak&lt;/author&gt;&lt;author&gt;Mok, Yingjuan&lt;/author&gt;&lt;author&gt;Wong, Hang Siang&lt;/author&gt;&lt;author&gt;Hsu, Pon Poh&lt;/author&gt;&lt;/authors&gt;&lt;/contributors&gt;&lt;titles&gt;&lt;title&gt;Adherence to continuous positive airway pressure therapy in Singaporean patients with obstructive sleep apnea&lt;/title&gt;&lt;secondary-title&gt;American journal of otolaryngology&lt;/secondary-title&gt;&lt;/titles&gt;&lt;periodical&gt;&lt;full-title&gt;American journal of otolaryngology&lt;/full-title&gt;&lt;/periodical&gt;&lt;pages&gt;501-506&lt;/pages&gt;&lt;volume&gt;39&lt;/volume&gt;&lt;number&gt;5&lt;/number&gt;&lt;dates&gt;&lt;year&gt;2018&lt;/year&gt;&lt;/dates&gt;&lt;isbn&gt;0196-0709&lt;/isbn&gt;&lt;urls&gt;&lt;/urls&gt;&lt;/record&gt;&lt;/Cite&gt;&lt;Cite&gt;&lt;Author&gt;Mcardle&lt;/Author&gt;&lt;Year&gt;1999&lt;/Year&gt;&lt;RecNum&gt;9&lt;/RecNum&gt;&lt;record&gt;&lt;rec-number&gt;9&lt;/rec-number&gt;&lt;foreign-keys&gt;&lt;key app="EN" db-id="eswvavzsosvad8efwtn5d0vq5zxtxrxe59xd" timestamp="1673893037"&gt;9&lt;/key&gt;&lt;/foreign-keys&gt;&lt;ref-type name="Journal Article"&gt;17&lt;/ref-type&gt;&lt;contributors&gt;&lt;authors&gt;&lt;author&gt;Mcardle, Nigel&lt;/author&gt;&lt;author&gt;Devereux, Graham&lt;/author&gt;&lt;author&gt;Heidarnejad, Hassan&lt;/author&gt;&lt;author&gt;Engleman, Heather M&lt;/author&gt;&lt;author&gt;Mackay, Thomas W&lt;/author&gt;&lt;author&gt;Douglas, Neil J&lt;/author&gt;&lt;/authors&gt;&lt;/contributors&gt;&lt;titles&gt;&lt;title&gt;Long-term use of CPAP therapy for sleep apnea/hypopnea syndrome&lt;/title&gt;&lt;secondary-title&gt;American journal of respiratory and critical care medicine&lt;/secondary-title&gt;&lt;/titles&gt;&lt;periodical&gt;&lt;full-title&gt;American journal of respiratory and critical care medicine&lt;/full-title&gt;&lt;/periodical&gt;&lt;pages&gt;1108-1114&lt;/pages&gt;&lt;volume&gt;159&lt;/volume&gt;&lt;number&gt;4&lt;/number&gt;&lt;dates&gt;&lt;year&gt;1999&lt;/year&gt;&lt;/dates&gt;&lt;isbn&gt;1535-4970&lt;/isbn&gt;&lt;urls&gt;&lt;/urls&gt;&lt;/record&gt;&lt;/Cite&gt;&lt;/EndNote&gt;</w:instrText>
      </w:r>
      <w:r>
        <w:rPr>
          <w:rFonts w:ascii="Times New Roman" w:eastAsiaTheme="minorHAnsi" w:hAnsi="Times New Roman" w:cs="Times New Roman"/>
          <w:sz w:val="22"/>
        </w:rPr>
        <w:fldChar w:fldCharType="separate"/>
      </w:r>
      <w:r>
        <w:fldChar w:fldCharType="begin"/>
      </w:r>
      <w:r>
        <w:instrText xml:space="preserve"> HYPERLINK \l "_ENREF_9"\o "Mcardle, 1999 #9"</w:instrText>
      </w:r>
      <w:r>
        <w:fldChar w:fldCharType="separate"/>
      </w:r>
      <w:r>
        <w:rPr>
          <w:rFonts w:ascii="Courier New" w:eastAsiaTheme="minorHAnsi" w:hAnsi="Courier New" w:cs="Courier New"/>
          <w:noProof/>
          <w:sz w:val="22"/>
          <w:vertAlign w:val="superscript"/>
        </w:rPr>
        <w:t>9</w:t>
      </w:r>
      <w:r>
        <w:fldChar w:fldCharType="end"/>
      </w:r>
      <w:r>
        <w:rPr>
          <w:rFonts w:ascii="Courier New" w:eastAsiaTheme="minorHAnsi" w:hAnsi="Courier New" w:cs="Courier New"/>
          <w:noProof/>
          <w:sz w:val="22"/>
          <w:vertAlign w:val="superscript"/>
        </w:rPr>
        <w:t>,</w:t>
      </w:r>
      <w:r>
        <w:fldChar w:fldCharType="begin"/>
      </w:r>
      <w:r>
        <w:instrText xml:space="preserve"> HYPERLINK \l "_ENREF_26"\o "Tan, 2018 #26"</w:instrText>
      </w:r>
      <w:r>
        <w:fldChar w:fldCharType="separate"/>
      </w:r>
      <w:r>
        <w:rPr>
          <w:rFonts w:ascii="Courier New" w:eastAsiaTheme="minorHAnsi" w:hAnsi="Courier New" w:cs="Courier New"/>
          <w:noProof/>
          <w:sz w:val="22"/>
          <w:vertAlign w:val="superscript"/>
        </w:rPr>
        <w:t>26</w:t>
      </w:r>
      <w:r>
        <w:fldChar w:fldCharType="end"/>
      </w:r>
      <w:r>
        <w:rPr>
          <w:rFonts w:ascii="Times New Roman" w:eastAsiaTheme="minorHAnsi" w:hAnsi="Times New Roman" w:cs="Times New Roman"/>
          <w:sz w:val="22"/>
        </w:rPr>
        <w:fldChar w:fldCharType="end"/>
      </w:r>
      <w:r>
        <w:rPr>
          <w:rFonts w:ascii="Times New Roman" w:eastAsiaTheme="minorHAnsi" w:hAnsi="Times New Roman" w:cs="Times New Roman"/>
          <w:sz w:val="22"/>
        </w:rPr>
        <w:t xml:space="preserve"> although there was no significant difference in ESS score between the two groups in this study.</w:t>
      </w:r>
    </w:p>
    <w:p>
      <w:pPr>
        <w:jc w:val="left"/>
        <w:spacing w:line="480" w:lineRule="auto"/>
        <w:rPr>
          <w:rFonts w:ascii="Times New Roman" w:eastAsiaTheme="minorHAnsi" w:hAnsi="Times New Roman" w:cs="Times New Roman"/>
          <w:sz w:val="22"/>
        </w:rPr>
      </w:pPr>
      <w:r>
        <w:rPr>
          <w:rFonts w:ascii="Times New Roman" w:eastAsiaTheme="minorHAnsi" w:hAnsi="Times New Roman" w:cs="Times New Roman"/>
          <w:sz w:val="22"/>
        </w:rPr>
        <w:t>The factors that were significantly associated with CPAP compliance in the logistic regression were stage N1 ratio and health insurance coverage. Although not statistically significant, AHI, hypertension, and PSQI overall sleep quality were also included in the regression equation. The result of the PSG stage N1 ratio predicting CPAP compliance is novel and has not been previously reported. In a previous study, all sleep stage variables, including stage 1 sleep ratio, from nocturnal diagnostic PSG and CPAP titration test did not predict CPAP compliance.</w:t>
      </w:r>
      <w:r>
        <w:fldChar w:fldCharType="begin"/>
      </w:r>
      <w:r>
        <w:instrText xml:space="preserve"> HYPERLINK \l "_ENREF_43"\o "Drake, 2003 #36"</w:instrText>
      </w:r>
      <w:r>
        <w:fldChar w:fldCharType="separate"/>
      </w:r>
      <w:r>
        <w:rPr>
          <w:rFonts w:ascii="Times New Roman" w:eastAsiaTheme="minorHAnsi" w:hAnsi="Times New Roman" w:cs="Times New Roman"/>
          <w:sz w:val="22"/>
        </w:rPr>
        <w:fldChar w:fldCharType="begin"/>
      </w:r>
      <w:r>
        <w:rPr>
          <w:rFonts w:ascii="Times New Roman" w:eastAsiaTheme="minorHAnsi" w:hAnsi="Times New Roman" w:cs="Times New Roman"/>
          <w:sz w:val="22"/>
        </w:rPr>
        <w:instrText xml:space="preserve"> ADDIN EN.CITE &lt;EndNote&gt;&lt;Cite&gt;&lt;Author&gt;Drake&lt;/Author&gt;&lt;Year&gt;2003&lt;/Year&gt;&lt;RecNum&gt;36&lt;/RecNum&gt;&lt;DisplayText&gt;&lt;style face="superscript" font="Courier New"&gt;43&lt;/style&gt;&lt;/DisplayText&gt;&lt;record&gt;&lt;rec-number&gt;36&lt;/rec-number&gt;&lt;foreign-keys&gt;&lt;key app="EN" db-id="eswvavzsosvad8efwtn5d0vq5zxtxrxe59xd" timestamp="1673893037"&gt;36&lt;/key&gt;&lt;/foreign-keys&gt;&lt;ref-type name="Journal Article"&gt;17&lt;/ref-type&gt;&lt;contributors&gt;&lt;authors&gt;&lt;author&gt;Drake, Christopher L&lt;/author&gt;&lt;author&gt;Day, Ryan&lt;/author&gt;&lt;author&gt;Hudgel, David&lt;/author&gt;&lt;author&gt;Stefadu, Yevgeniy&lt;/author&gt;&lt;author&gt;Parks, Mary&lt;/author&gt;&lt;author&gt;Syron, Mary Lou&lt;/author&gt;&lt;author&gt;Roth, Thomas&lt;/author&gt;&lt;/authors&gt;&lt;/contributors&gt;&lt;titles&gt;&lt;title&gt;Sleep during titration predicts continuous positive airway pressure compliance&lt;/title&gt;&lt;secondary-title&gt;Sleep&lt;/secondary-title&gt;&lt;/titles&gt;&lt;periodical&gt;&lt;full-title&gt;Sleep&lt;/full-title&gt;&lt;/periodical&gt;&lt;pages&gt;308-311&lt;/pages&gt;&lt;volume&gt;26&lt;/volume&gt;&lt;number&gt;3&lt;/number&gt;&lt;dates&gt;&lt;year&gt;2003&lt;/year&gt;&lt;/dates&gt;&lt;isbn&gt;0161-8105&lt;/isbn&gt;&lt;urls&gt;&lt;/urls&gt;&lt;/record&gt;&lt;/Cite&gt;&lt;/EndNote&gt;</w:instrText>
      </w:r>
      <w:r>
        <w:rPr>
          <w:rFonts w:ascii="Times New Roman" w:eastAsiaTheme="minorHAnsi" w:hAnsi="Times New Roman" w:cs="Times New Roman"/>
          <w:sz w:val="22"/>
        </w:rPr>
        <w:fldChar w:fldCharType="separate"/>
      </w:r>
      <w:r>
        <w:rPr>
          <w:rFonts w:ascii="Courier New" w:eastAsiaTheme="minorHAnsi" w:hAnsi="Courier New" w:cs="Courier New"/>
          <w:noProof/>
          <w:sz w:val="22"/>
          <w:vertAlign w:val="superscript"/>
        </w:rPr>
        <w:t>43</w:t>
      </w:r>
      <w:r>
        <w:rPr>
          <w:rFonts w:ascii="Times New Roman" w:eastAsiaTheme="minorHAnsi" w:hAnsi="Times New Roman" w:cs="Times New Roman"/>
          <w:sz w:val="22"/>
        </w:rPr>
        <w:fldChar w:fldCharType="end"/>
      </w:r>
      <w:r>
        <w:fldChar w:fldCharType="end"/>
      </w:r>
      <w:r>
        <w:rPr>
          <w:rFonts w:ascii="Times New Roman" w:eastAsiaTheme="minorHAnsi" w:hAnsi="Times New Roman" w:cs="Times New Roman"/>
          <w:sz w:val="22"/>
        </w:rPr>
        <w:t xml:space="preserve"> The high stage N1 ratio predicting high CPAP adherence in this study might be the result of patients with OSA and poor objective sleep quality recognizing their poor sleep quality and therefore using CPAP consistently. </w:t>
      </w:r>
      <w:r>
        <w:rPr>
          <w:rFonts w:ascii="Times New Roman" w:eastAsiaTheme="minorHAnsi" w:hAnsi="Times New Roman" w:cs="Times New Roman"/>
          <w:color w:val="0070C0"/>
          <w:sz w:val="22"/>
          <w:highlight w:val="yellow"/>
        </w:rPr>
        <w:t xml:space="preserve">Similar to this study, previous studies have shown that factors such as sleep architecture, sleep efficacy, and sleep </w:t>
      </w:r>
      <w:r>
        <w:rPr>
          <w:rFonts w:ascii="Times New Roman" w:eastAsiaTheme="minorHAnsi" w:hAnsi="Times New Roman" w:cs="Times New Roman"/>
          <w:color w:val="0070C0"/>
          <w:sz w:val="22"/>
          <w:highlight w:val="yellow"/>
        </w:rPr>
        <w:t>latency are associated with CPAP compliance.</w:t>
      </w:r>
      <w:r>
        <w:fldChar w:fldCharType="begin"/>
      </w:r>
      <w:r>
        <w:instrText xml:space="preserve"> HYPERLINK \l "_ENREF_44"\o "Shirahata, 2023 #46"</w:instrText>
      </w:r>
      <w:r>
        <w:fldChar w:fldCharType="separate"/>
      </w:r>
      <w:r>
        <w:rPr>
          <w:rFonts w:ascii="Times New Roman" w:eastAsiaTheme="minorHAnsi" w:hAnsi="Times New Roman" w:cs="Times New Roman"/>
          <w:color w:val="0070C0"/>
          <w:sz w:val="22"/>
          <w:highlight w:val="yellow"/>
        </w:rPr>
        <w:fldChar w:fldCharType="begin"/>
      </w:r>
      <w:r>
        <w:rPr>
          <w:rFonts w:ascii="Times New Roman" w:eastAsiaTheme="minorHAnsi" w:hAnsi="Times New Roman" w:cs="Times New Roman"/>
          <w:color w:val="0070C0"/>
          <w:sz w:val="22"/>
          <w:highlight w:val="yellow"/>
        </w:rPr>
        <w:instrText xml:space="preserve"> ADDIN EN.CITE </w:instrText>
      </w:r>
      <w:r>
        <w:rPr>
          <w:rFonts w:ascii="Times New Roman" w:eastAsiaTheme="minorHAnsi" w:hAnsi="Times New Roman" w:cs="Times New Roman"/>
          <w:color w:val="0070C0"/>
          <w:sz w:val="22"/>
          <w:highlight w:val="yellow"/>
        </w:rPr>
        <w:fldChar w:fldCharType="begin"/>
      </w:r>
      <w:r>
        <w:rPr>
          <w:rFonts w:ascii="Times New Roman" w:eastAsiaTheme="minorHAnsi" w:hAnsi="Times New Roman" w:cs="Times New Roman"/>
          <w:color w:val="0070C0"/>
          <w:sz w:val="22"/>
          <w:highlight w:val="yellow"/>
        </w:rPr>
        <w:instrText xml:space="preserve"> ADDIN EN.CITE.DATA </w:instrText>
      </w:r>
      <w:r>
        <w:rPr>
          <w:rFonts w:ascii="Times New Roman" w:eastAsiaTheme="minorHAnsi" w:hAnsi="Times New Roman" w:cs="Times New Roman"/>
          <w:color w:val="0070C0"/>
          <w:sz w:val="22"/>
          <w:highlight w:val="yellow"/>
        </w:rPr>
        <w:fldChar w:fldCharType="end"/>
      </w:r>
      <w:r>
        <w:rPr>
          <w:rFonts w:ascii="Times New Roman" w:eastAsiaTheme="minorHAnsi" w:hAnsi="Times New Roman" w:cs="Times New Roman"/>
          <w:color w:val="0070C0"/>
          <w:sz w:val="22"/>
          <w:highlight w:val="yellow"/>
        </w:rPr>
        <w:fldChar w:fldCharType="separate"/>
      </w:r>
      <w:r>
        <w:rPr>
          <w:rFonts w:ascii="Courier New" w:eastAsiaTheme="minorHAnsi" w:hAnsi="Courier New" w:cs="Courier New"/>
          <w:noProof/>
          <w:color w:val="0070C0"/>
          <w:sz w:val="22"/>
          <w:highlight w:val="yellow"/>
          <w:vertAlign w:val="superscript"/>
        </w:rPr>
        <w:t>44</w:t>
      </w:r>
      <w:r>
        <w:rPr>
          <w:rFonts w:ascii="Times New Roman" w:eastAsiaTheme="minorHAnsi" w:hAnsi="Times New Roman" w:cs="Times New Roman"/>
          <w:color w:val="0070C0"/>
          <w:sz w:val="22"/>
          <w:highlight w:val="yellow"/>
        </w:rPr>
        <w:fldChar w:fldCharType="end"/>
      </w:r>
      <w:r>
        <w:fldChar w:fldCharType="end"/>
      </w:r>
      <w:r>
        <w:rPr>
          <w:rFonts w:ascii="Times New Roman" w:eastAsiaTheme="minorHAnsi" w:hAnsi="Times New Roman" w:cs="Times New Roman"/>
          <w:sz w:val="22"/>
        </w:rPr>
        <w:t xml:space="preserve"> </w:t>
      </w:r>
      <w:r>
        <w:rPr>
          <w:rFonts w:ascii="Times New Roman" w:eastAsiaTheme="minorHAnsi" w:hAnsi="Times New Roman" w:cs="Times New Roman"/>
          <w:sz w:val="22"/>
        </w:rPr>
        <w:t xml:space="preserve">If this result is replicated in larger samples in the future, it will be possible to predict CPAP adherence based on the PSG results and to provide personalized education and treatment directions to patients. The high proportion of people receiving health insurance coverage in the CPAP-compliant group is an expected result, and the coverage action for CPAP in the Korean National Health Insurance System can be evaluated to make a significant contribution to increasing OSA patients' compliance. </w:t>
      </w:r>
    </w:p>
    <w:p>
      <w:pPr>
        <w:jc w:val="left"/>
        <w:spacing w:line="480" w:lineRule="auto"/>
        <w:rPr>
          <w:rFonts w:ascii="Times New Roman" w:eastAsiaTheme="minorHAnsi" w:hAnsi="Times New Roman" w:cs="Times New Roman"/>
          <w:color w:val="0070C0"/>
          <w:sz w:val="22"/>
        </w:rPr>
      </w:pPr>
      <w:bookmarkStart w:id="5" w:name="_Hlk149529101"/>
      <w:r>
        <w:rPr>
          <w:rFonts w:ascii="Times New Roman" w:eastAsiaTheme="minorHAnsi" w:hAnsi="Times New Roman" w:cs="Times New Roman"/>
          <w:color w:val="0070C0"/>
          <w:sz w:val="22"/>
          <w:highlight w:val="yellow"/>
        </w:rPr>
        <w:t xml:space="preserve">Previous studies have reported </w:t>
      </w:r>
      <w:r>
        <w:rPr>
          <w:rFonts w:ascii="Times New Roman" w:eastAsiaTheme="minorHAnsi" w:hAnsi="Times New Roman" w:cs="Times New Roman"/>
          <w:color w:val="0070C0"/>
          <w:sz w:val="22"/>
          <w:highlight w:val="yellow"/>
        </w:rPr>
        <w:t>multifaceted factors predict</w:t>
      </w:r>
      <w:r>
        <w:rPr>
          <w:rFonts w:ascii="Times New Roman" w:eastAsiaTheme="minorHAnsi" w:hAnsi="Times New Roman" w:cs="Times New Roman"/>
          <w:color w:val="0070C0"/>
          <w:sz w:val="22"/>
          <w:highlight w:val="yellow"/>
        </w:rPr>
        <w:t xml:space="preserve"> </w:t>
      </w:r>
      <w:r>
        <w:rPr>
          <w:rFonts w:ascii="Times New Roman" w:eastAsiaTheme="minorHAnsi" w:hAnsi="Times New Roman" w:cs="Times New Roman"/>
          <w:color w:val="0070C0"/>
          <w:sz w:val="22"/>
          <w:highlight w:val="yellow"/>
        </w:rPr>
        <w:t xml:space="preserve">CPAP compliance in OSA patients, including </w:t>
      </w:r>
      <w:r>
        <w:rPr>
          <w:rFonts w:ascii="Times New Roman" w:eastAsiaTheme="minorHAnsi" w:hAnsi="Times New Roman" w:cs="Times New Roman"/>
          <w:color w:val="0070C0"/>
          <w:sz w:val="22"/>
          <w:highlight w:val="yellow"/>
        </w:rPr>
        <w:t>demographic variables</w:t>
      </w:r>
      <w:r>
        <w:rPr>
          <w:rFonts w:ascii="Times New Roman" w:eastAsiaTheme="minorHAnsi" w:hAnsi="Times New Roman" w:cs="Times New Roman"/>
          <w:color w:val="0070C0"/>
          <w:sz w:val="22"/>
          <w:highlight w:val="yellow"/>
        </w:rPr>
        <w:t xml:space="preserve"> (</w:t>
      </w:r>
      <w:r>
        <w:rPr>
          <w:rFonts w:ascii="Times New Roman" w:eastAsiaTheme="minorHAnsi" w:hAnsi="Times New Roman" w:cs="Times New Roman"/>
          <w:color w:val="0070C0"/>
          <w:sz w:val="22"/>
          <w:highlight w:val="yellow"/>
        </w:rPr>
        <w:t>sex,</w:t>
      </w:r>
      <w:r>
        <w:rPr>
          <w:rFonts w:ascii="Times New Roman" w:eastAsiaTheme="minorHAnsi" w:hAnsi="Times New Roman" w:cs="Times New Roman"/>
          <w:color w:val="0070C0"/>
          <w:sz w:val="22"/>
          <w:highlight w:val="yellow"/>
        </w:rPr>
        <w:fldChar w:fldCharType="begin"/>
      </w:r>
      <w:r>
        <w:rPr>
          <w:rFonts w:ascii="Times New Roman" w:eastAsiaTheme="minorHAnsi" w:hAnsi="Times New Roman" w:cs="Times New Roman"/>
          <w:color w:val="0070C0"/>
          <w:sz w:val="22"/>
          <w:highlight w:val="yellow"/>
        </w:rPr>
        <w:instrText xml:space="preserve"> ADDIN EN.CITE </w:instrText>
      </w:r>
      <w:r>
        <w:rPr>
          <w:rFonts w:ascii="Times New Roman" w:eastAsiaTheme="minorHAnsi" w:hAnsi="Times New Roman" w:cs="Times New Roman"/>
          <w:color w:val="0070C0"/>
          <w:sz w:val="22"/>
          <w:highlight w:val="yellow"/>
        </w:rPr>
        <w:fldChar w:fldCharType="begin"/>
      </w:r>
      <w:r>
        <w:rPr>
          <w:rFonts w:ascii="Times New Roman" w:eastAsiaTheme="minorHAnsi" w:hAnsi="Times New Roman" w:cs="Times New Roman"/>
          <w:color w:val="0070C0"/>
          <w:sz w:val="22"/>
          <w:highlight w:val="yellow"/>
        </w:rPr>
        <w:instrText xml:space="preserve"> ADDIN EN.CITE.DATA </w:instrText>
      </w:r>
      <w:r>
        <w:rPr>
          <w:rFonts w:ascii="Times New Roman" w:eastAsiaTheme="minorHAnsi" w:hAnsi="Times New Roman" w:cs="Times New Roman"/>
          <w:color w:val="0070C0"/>
          <w:sz w:val="22"/>
          <w:highlight w:val="yellow"/>
        </w:rPr>
        <w:fldChar w:fldCharType="end"/>
      </w:r>
      <w:r>
        <w:rPr>
          <w:rFonts w:ascii="Times New Roman" w:eastAsiaTheme="minorHAnsi" w:hAnsi="Times New Roman" w:cs="Times New Roman"/>
          <w:color w:val="0070C0"/>
          <w:sz w:val="22"/>
          <w:highlight w:val="yellow"/>
        </w:rPr>
        <w:fldChar w:fldCharType="separate"/>
      </w:r>
      <w:r>
        <w:fldChar w:fldCharType="begin"/>
      </w:r>
      <w:r>
        <w:instrText xml:space="preserve"> HYPERLINK \l "_ENREF_36"\o "Madbouly, 2014 #37"</w:instrText>
      </w:r>
      <w:r>
        <w:fldChar w:fldCharType="separate"/>
      </w:r>
      <w:r>
        <w:rPr>
          <w:rFonts w:ascii="Courier New" w:eastAsiaTheme="minorHAnsi" w:hAnsi="Courier New" w:cs="Courier New"/>
          <w:noProof/>
          <w:color w:val="0070C0"/>
          <w:sz w:val="22"/>
          <w:highlight w:val="yellow"/>
          <w:vertAlign w:val="superscript"/>
        </w:rPr>
        <w:t>36</w:t>
      </w:r>
      <w:r>
        <w:fldChar w:fldCharType="end"/>
      </w:r>
      <w:r>
        <w:rPr>
          <w:rFonts w:ascii="Courier New" w:eastAsiaTheme="minorHAnsi" w:hAnsi="Courier New" w:cs="Courier New"/>
          <w:noProof/>
          <w:color w:val="0070C0"/>
          <w:sz w:val="22"/>
          <w:highlight w:val="yellow"/>
          <w:vertAlign w:val="superscript"/>
        </w:rPr>
        <w:t>,</w:t>
      </w:r>
      <w:r>
        <w:fldChar w:fldCharType="begin"/>
      </w:r>
      <w:r>
        <w:instrText xml:space="preserve"> HYPERLINK \l "_ENREF_37"\o "Turnbull, 2016 #47"</w:instrText>
      </w:r>
      <w:r>
        <w:fldChar w:fldCharType="separate"/>
      </w:r>
      <w:r>
        <w:rPr>
          <w:rFonts w:ascii="Courier New" w:eastAsiaTheme="minorHAnsi" w:hAnsi="Courier New" w:cs="Courier New"/>
          <w:noProof/>
          <w:color w:val="0070C0"/>
          <w:sz w:val="22"/>
          <w:highlight w:val="yellow"/>
          <w:vertAlign w:val="superscript"/>
        </w:rPr>
        <w:t>37</w:t>
      </w:r>
      <w:r>
        <w:fldChar w:fldCharType="end"/>
      </w:r>
      <w:r>
        <w:rPr>
          <w:rFonts w:ascii="Times New Roman" w:eastAsiaTheme="minorHAnsi" w:hAnsi="Times New Roman" w:cs="Times New Roman"/>
          <w:color w:val="0070C0"/>
          <w:sz w:val="22"/>
          <w:highlight w:val="yellow"/>
        </w:rPr>
        <w:fldChar w:fldCharType="end"/>
      </w:r>
      <w:r>
        <w:rPr>
          <w:rFonts w:ascii="Times New Roman" w:eastAsiaTheme="minorHAnsi" w:hAnsi="Times New Roman" w:cs="Times New Roman"/>
          <w:color w:val="0070C0"/>
          <w:sz w:val="22"/>
          <w:highlight w:val="yellow"/>
        </w:rPr>
        <w:t xml:space="preserve"> </w:t>
      </w:r>
      <w:r>
        <w:rPr>
          <w:rFonts w:ascii="Times New Roman" w:eastAsiaTheme="minorHAnsi" w:hAnsi="Times New Roman" w:cs="Times New Roman"/>
          <w:color w:val="0070C0"/>
          <w:sz w:val="22"/>
          <w:highlight w:val="yellow"/>
        </w:rPr>
        <w:t>a</w:t>
      </w:r>
      <w:r>
        <w:rPr>
          <w:rFonts w:ascii="Times New Roman" w:eastAsiaTheme="minorHAnsi" w:hAnsi="Times New Roman" w:cs="Times New Roman"/>
          <w:color w:val="0070C0"/>
          <w:sz w:val="22"/>
          <w:highlight w:val="yellow"/>
        </w:rPr>
        <w:t>ge</w:t>
      </w:r>
      <w:r>
        <w:fldChar w:fldCharType="begin"/>
      </w:r>
      <w:r>
        <w:instrText xml:space="preserve"> HYPERLINK \l "_ENREF_38"\o "Ebden, 2004 #40"</w:instrText>
      </w:r>
      <w:r>
        <w:fldChar w:fldCharType="separate"/>
      </w:r>
      <w:r>
        <w:rPr>
          <w:rFonts w:ascii="Times New Roman" w:eastAsiaTheme="minorHAnsi" w:hAnsi="Times New Roman" w:cs="Times New Roman"/>
          <w:color w:val="0070C0"/>
          <w:sz w:val="22"/>
          <w:highlight w:val="yellow"/>
        </w:rPr>
        <w:fldChar w:fldCharType="begin"/>
      </w:r>
      <w:r>
        <w:rPr>
          <w:rFonts w:ascii="Times New Roman" w:eastAsiaTheme="minorHAnsi" w:hAnsi="Times New Roman" w:cs="Times New Roman"/>
          <w:color w:val="0070C0"/>
          <w:sz w:val="22"/>
          <w:highlight w:val="yellow"/>
        </w:rPr>
        <w:instrText xml:space="preserve"> ADDIN EN.CITE &lt;EndNote&gt;&lt;Cite&gt;&lt;Author&gt;Ebden&lt;/Author&gt;&lt;Year&gt;2004&lt;/Year&gt;&lt;RecNum&gt;40&lt;/RecNum&gt;&lt;DisplayText&gt;&lt;style face="superscript" font="Courier New"&gt;38&lt;/style&gt;&lt;/DisplayText&gt;&lt;record&gt;&lt;rec-number&gt;40&lt;/rec-number&gt;&lt;foreign-keys&gt;&lt;key app="EN" db-id="eswvavzsosvad8efwtn5d0vq5zxtxrxe59xd" timestamp="1698584399"&gt;40&lt;/key&gt;&lt;/foreign-keys&gt;&lt;ref-type name="Journal Article"&gt;17&lt;/ref-type&gt;&lt;contributors&gt;&lt;authors&gt;&lt;author&gt;Keir E Lewis; Lisa Seale; Iona E Bartle; Alan J Watkins; Philip Ebden&lt;/author&gt;&lt;/authors&gt;&lt;/contributors&gt;&lt;titles&gt;&lt;title&gt;Early Predictors of CPAP Use for the Treatment of Obstructive Sleep Apnea&lt;/title&gt;&lt;secondary-title&gt;SLEEP&lt;/secondary-title&gt;&lt;/titles&gt;&lt;periodical&gt;&lt;full-title&gt;Sleep&lt;/full-title&gt;&lt;/periodical&gt;&lt;pages&gt;134-138&lt;/pages&gt;&lt;volume&gt;27&lt;/volume&gt;&lt;number&gt;1&lt;/number&gt;&lt;dates&gt;&lt;year&gt;2004&lt;/year&gt;&lt;/dates&gt;&lt;urls&gt;&lt;/urls&gt;&lt;/record&gt;&lt;/Cite&gt;&lt;/EndNote&gt;</w:instrText>
      </w:r>
      <w:r>
        <w:rPr>
          <w:rFonts w:ascii="Times New Roman" w:eastAsiaTheme="minorHAnsi" w:hAnsi="Times New Roman" w:cs="Times New Roman"/>
          <w:color w:val="0070C0"/>
          <w:sz w:val="22"/>
          <w:highlight w:val="yellow"/>
        </w:rPr>
        <w:fldChar w:fldCharType="separate"/>
      </w:r>
      <w:r>
        <w:rPr>
          <w:rFonts w:ascii="Courier New" w:eastAsiaTheme="minorHAnsi" w:hAnsi="Courier New" w:cs="Courier New"/>
          <w:noProof/>
          <w:color w:val="0070C0"/>
          <w:sz w:val="22"/>
          <w:highlight w:val="yellow"/>
          <w:vertAlign w:val="superscript"/>
        </w:rPr>
        <w:t>38</w:t>
      </w:r>
      <w:r>
        <w:rPr>
          <w:rFonts w:ascii="Times New Roman" w:eastAsiaTheme="minorHAnsi" w:hAnsi="Times New Roman" w:cs="Times New Roman"/>
          <w:color w:val="0070C0"/>
          <w:sz w:val="22"/>
          <w:highlight w:val="yellow"/>
        </w:rPr>
        <w:fldChar w:fldCharType="end"/>
      </w:r>
      <w:r>
        <w:fldChar w:fldCharType="end"/>
      </w:r>
      <w:r>
        <w:rPr>
          <w:rFonts w:ascii="Times New Roman" w:eastAsiaTheme="minorHAnsi" w:hAnsi="Times New Roman" w:cs="Times New Roman"/>
          <w:color w:val="0070C0"/>
          <w:sz w:val="22"/>
          <w:highlight w:val="yellow"/>
        </w:rPr>
        <w:t>),</w:t>
      </w:r>
      <w:r>
        <w:rPr>
          <w:rFonts w:ascii="Times New Roman" w:eastAsiaTheme="minorHAnsi" w:hAnsi="Times New Roman" w:cs="Times New Roman"/>
          <w:color w:val="0070C0"/>
          <w:sz w:val="22"/>
          <w:highlight w:val="yellow"/>
        </w:rPr>
        <w:t xml:space="preserve"> </w:t>
      </w:r>
      <w:r>
        <w:rPr>
          <w:rFonts w:ascii="Times New Roman" w:eastAsiaTheme="minorHAnsi" w:hAnsi="Times New Roman" w:cs="Times New Roman"/>
          <w:color w:val="0070C0"/>
          <w:sz w:val="22"/>
          <w:highlight w:val="yellow"/>
        </w:rPr>
        <w:t xml:space="preserve">clinical factors (OSA severity, comorbidities, </w:t>
      </w:r>
      <w:r>
        <w:rPr>
          <w:rFonts w:ascii="Times New Roman" w:eastAsiaTheme="minorHAnsi" w:hAnsi="Times New Roman" w:cs="Times New Roman"/>
          <w:color w:val="0070C0"/>
          <w:sz w:val="22"/>
          <w:highlight w:val="yellow"/>
        </w:rPr>
        <w:t>sleep dissatisfaction,</w:t>
      </w:r>
      <w:r>
        <w:fldChar w:fldCharType="begin"/>
      </w:r>
      <w:r>
        <w:instrText xml:space="preserve"> HYPERLINK \l "_ENREF_40"\o "Wallace, 2018 #48"</w:instrText>
      </w:r>
      <w:r>
        <w:fldChar w:fldCharType="separate"/>
      </w:r>
      <w:r>
        <w:rPr>
          <w:rFonts w:ascii="Times New Roman" w:eastAsiaTheme="minorHAnsi" w:hAnsi="Times New Roman" w:cs="Times New Roman"/>
          <w:color w:val="0070C0"/>
          <w:sz w:val="22"/>
          <w:highlight w:val="yellow"/>
        </w:rPr>
        <w:fldChar w:fldCharType="begin"/>
      </w:r>
      <w:r>
        <w:rPr>
          <w:rFonts w:ascii="Times New Roman" w:eastAsiaTheme="minorHAnsi" w:hAnsi="Times New Roman" w:cs="Times New Roman"/>
          <w:color w:val="0070C0"/>
          <w:sz w:val="22"/>
          <w:highlight w:val="yellow"/>
        </w:rPr>
        <w:instrText xml:space="preserve"> ADDIN EN.CITE </w:instrText>
      </w:r>
      <w:r>
        <w:rPr>
          <w:rFonts w:ascii="Times New Roman" w:eastAsiaTheme="minorHAnsi" w:hAnsi="Times New Roman" w:cs="Times New Roman"/>
          <w:color w:val="0070C0"/>
          <w:sz w:val="22"/>
          <w:highlight w:val="yellow"/>
        </w:rPr>
        <w:fldChar w:fldCharType="begin"/>
      </w:r>
      <w:r>
        <w:rPr>
          <w:rFonts w:ascii="Times New Roman" w:eastAsiaTheme="minorHAnsi" w:hAnsi="Times New Roman" w:cs="Times New Roman"/>
          <w:color w:val="0070C0"/>
          <w:sz w:val="22"/>
          <w:highlight w:val="yellow"/>
        </w:rPr>
        <w:instrText xml:space="preserve"> ADDIN EN.CITE.DATA </w:instrText>
      </w:r>
      <w:r>
        <w:rPr>
          <w:rFonts w:ascii="Times New Roman" w:eastAsiaTheme="minorHAnsi" w:hAnsi="Times New Roman" w:cs="Times New Roman"/>
          <w:color w:val="0070C0"/>
          <w:sz w:val="22"/>
          <w:highlight w:val="yellow"/>
        </w:rPr>
        <w:fldChar w:fldCharType="end"/>
      </w:r>
      <w:r>
        <w:rPr>
          <w:rFonts w:ascii="Times New Roman" w:eastAsiaTheme="minorHAnsi" w:hAnsi="Times New Roman" w:cs="Times New Roman"/>
          <w:color w:val="0070C0"/>
          <w:sz w:val="22"/>
          <w:highlight w:val="yellow"/>
        </w:rPr>
        <w:fldChar w:fldCharType="separate"/>
      </w:r>
      <w:r>
        <w:rPr>
          <w:rFonts w:ascii="Courier New" w:eastAsiaTheme="minorHAnsi" w:hAnsi="Courier New" w:cs="Courier New"/>
          <w:noProof/>
          <w:color w:val="0070C0"/>
          <w:sz w:val="22"/>
          <w:highlight w:val="yellow"/>
          <w:vertAlign w:val="superscript"/>
        </w:rPr>
        <w:t>40</w:t>
      </w:r>
      <w:r>
        <w:rPr>
          <w:rFonts w:ascii="Times New Roman" w:eastAsiaTheme="minorHAnsi" w:hAnsi="Times New Roman" w:cs="Times New Roman"/>
          <w:color w:val="0070C0"/>
          <w:sz w:val="22"/>
          <w:highlight w:val="yellow"/>
        </w:rPr>
        <w:fldChar w:fldCharType="end"/>
      </w:r>
      <w:r>
        <w:fldChar w:fldCharType="end"/>
      </w:r>
      <w:r>
        <w:rPr>
          <w:rFonts w:ascii="Times New Roman" w:eastAsiaTheme="minorHAnsi" w:hAnsi="Times New Roman" w:cs="Times New Roman"/>
          <w:color w:val="0070C0"/>
          <w:sz w:val="22"/>
          <w:highlight w:val="yellow"/>
        </w:rPr>
        <w:t xml:space="preserve"> </w:t>
      </w:r>
      <w:r>
        <w:rPr>
          <w:rFonts w:ascii="Times New Roman" w:hAnsi="Times New Roman" w:cs="Times New Roman"/>
          <w:color w:val="0070C0"/>
          <w:sz w:val="22"/>
          <w:highlight w:val="yellow"/>
          <w:kern w:val="0"/>
        </w:rPr>
        <w:t xml:space="preserve">nocturnal </w:t>
      </w:r>
      <w:r>
        <w:rPr>
          <w:rFonts w:ascii="Times New Roman" w:eastAsiaTheme="minorHAnsi" w:hAnsi="Times New Roman" w:cs="Times New Roman"/>
          <w:color w:val="0070C0"/>
          <w:sz w:val="22"/>
          <w:highlight w:val="yellow"/>
        </w:rPr>
        <w:t>insomnia</w:t>
      </w:r>
      <w:r>
        <w:rPr>
          <w:rFonts w:ascii="Times New Roman" w:eastAsiaTheme="minorHAnsi" w:hAnsi="Times New Roman" w:cs="Times New Roman"/>
          <w:color w:val="0070C0"/>
          <w:sz w:val="22"/>
          <w:highlight w:val="yellow"/>
        </w:rPr>
        <w:fldChar w:fldCharType="begin"/>
      </w:r>
      <w:r>
        <w:rPr>
          <w:rFonts w:ascii="Times New Roman" w:eastAsiaTheme="minorHAnsi" w:hAnsi="Times New Roman" w:cs="Times New Roman"/>
          <w:color w:val="0070C0"/>
          <w:sz w:val="22"/>
          <w:highlight w:val="yellow"/>
        </w:rPr>
        <w:instrText xml:space="preserve"> ADDIN EN.CITE </w:instrText>
      </w:r>
      <w:r>
        <w:rPr>
          <w:rFonts w:ascii="Times New Roman" w:eastAsiaTheme="minorHAnsi" w:hAnsi="Times New Roman" w:cs="Times New Roman"/>
          <w:color w:val="0070C0"/>
          <w:sz w:val="22"/>
          <w:highlight w:val="yellow"/>
        </w:rPr>
        <w:fldChar w:fldCharType="begin"/>
      </w:r>
      <w:r>
        <w:rPr>
          <w:rFonts w:ascii="Times New Roman" w:eastAsiaTheme="minorHAnsi" w:hAnsi="Times New Roman" w:cs="Times New Roman"/>
          <w:color w:val="0070C0"/>
          <w:sz w:val="22"/>
          <w:highlight w:val="yellow"/>
        </w:rPr>
        <w:instrText xml:space="preserve"> ADDIN EN.CITE.DATA </w:instrText>
      </w:r>
      <w:r>
        <w:rPr>
          <w:rFonts w:ascii="Times New Roman" w:eastAsiaTheme="minorHAnsi" w:hAnsi="Times New Roman" w:cs="Times New Roman"/>
          <w:color w:val="0070C0"/>
          <w:sz w:val="22"/>
          <w:highlight w:val="yellow"/>
        </w:rPr>
        <w:fldChar w:fldCharType="end"/>
      </w:r>
      <w:r>
        <w:rPr>
          <w:rFonts w:ascii="Times New Roman" w:eastAsiaTheme="minorHAnsi" w:hAnsi="Times New Roman" w:cs="Times New Roman"/>
          <w:color w:val="0070C0"/>
          <w:sz w:val="22"/>
          <w:highlight w:val="yellow"/>
        </w:rPr>
        <w:fldChar w:fldCharType="separate"/>
      </w:r>
      <w:r>
        <w:fldChar w:fldCharType="begin"/>
      </w:r>
      <w:r>
        <w:instrText xml:space="preserve"> HYPERLINK \l "_ENREF_40"\o "Wallace, 2018 #48"</w:instrText>
      </w:r>
      <w:r>
        <w:fldChar w:fldCharType="separate"/>
      </w:r>
      <w:r>
        <w:rPr>
          <w:rFonts w:ascii="Courier New" w:eastAsiaTheme="minorHAnsi" w:hAnsi="Courier New" w:cs="Courier New"/>
          <w:noProof/>
          <w:color w:val="0070C0"/>
          <w:sz w:val="22"/>
          <w:highlight w:val="yellow"/>
          <w:vertAlign w:val="superscript"/>
        </w:rPr>
        <w:t>40</w:t>
      </w:r>
      <w:r>
        <w:fldChar w:fldCharType="end"/>
      </w:r>
      <w:r>
        <w:rPr>
          <w:rFonts w:ascii="Courier New" w:eastAsiaTheme="minorHAnsi" w:hAnsi="Courier New" w:cs="Courier New"/>
          <w:noProof/>
          <w:color w:val="0070C0"/>
          <w:sz w:val="22"/>
          <w:highlight w:val="yellow"/>
          <w:vertAlign w:val="superscript"/>
        </w:rPr>
        <w:t>,</w:t>
      </w:r>
      <w:r>
        <w:fldChar w:fldCharType="begin"/>
      </w:r>
      <w:r>
        <w:instrText xml:space="preserve"> HYPERLINK \l "_ENREF_41"\o "Wickwire, 2010 #49"</w:instrText>
      </w:r>
      <w:r>
        <w:fldChar w:fldCharType="separate"/>
      </w:r>
      <w:r>
        <w:rPr>
          <w:rFonts w:ascii="Courier New" w:eastAsiaTheme="minorHAnsi" w:hAnsi="Courier New" w:cs="Courier New"/>
          <w:noProof/>
          <w:color w:val="0070C0"/>
          <w:sz w:val="22"/>
          <w:highlight w:val="yellow"/>
          <w:vertAlign w:val="superscript"/>
        </w:rPr>
        <w:t>41</w:t>
      </w:r>
      <w:r>
        <w:fldChar w:fldCharType="end"/>
      </w:r>
      <w:r>
        <w:rPr>
          <w:rFonts w:ascii="Times New Roman" w:eastAsiaTheme="minorHAnsi" w:hAnsi="Times New Roman" w:cs="Times New Roman"/>
          <w:color w:val="0070C0"/>
          <w:sz w:val="22"/>
          <w:highlight w:val="yellow"/>
        </w:rPr>
        <w:fldChar w:fldCharType="end"/>
      </w:r>
      <w:r>
        <w:rPr>
          <w:rFonts w:ascii="Times New Roman" w:eastAsiaTheme="minorHAnsi" w:hAnsi="Times New Roman" w:cs="Times New Roman"/>
          <w:color w:val="0070C0"/>
          <w:sz w:val="22"/>
          <w:highlight w:val="yellow"/>
        </w:rPr>
        <w:t>),</w:t>
      </w:r>
      <w:r>
        <w:rPr>
          <w:rFonts w:ascii="Times New Roman" w:eastAsiaTheme="minorHAnsi" w:hAnsi="Times New Roman" w:cs="Times New Roman"/>
          <w:color w:val="0070C0"/>
          <w:sz w:val="22"/>
          <w:highlight w:val="yellow"/>
        </w:rPr>
        <w:t xml:space="preserve"> CPAP device and treatment-related factors (device comfort, mask type</w:t>
      </w:r>
      <w:r>
        <w:rPr>
          <w:rFonts w:ascii="Times New Roman" w:eastAsiaTheme="minorHAnsi" w:hAnsi="Times New Roman" w:cs="Times New Roman"/>
          <w:color w:val="0070C0"/>
          <w:sz w:val="22"/>
          <w:highlight w:val="yellow"/>
        </w:rPr>
        <w:t xml:space="preserve">, </w:t>
      </w:r>
      <w:r>
        <w:fldChar w:fldCharType="begin"/>
      </w:r>
      <w:r>
        <w:instrText xml:space="preserve"> HYPERLINK \l "_ENREF_39"\o "Riachy, 2017 #50"</w:instrText>
      </w:r>
      <w:r>
        <w:fldChar w:fldCharType="separate"/>
      </w:r>
      <w:r>
        <w:rPr>
          <w:rFonts w:ascii="Times New Roman" w:eastAsiaTheme="minorHAnsi" w:hAnsi="Times New Roman" w:cs="Times New Roman"/>
          <w:color w:val="0070C0"/>
          <w:sz w:val="22"/>
          <w:highlight w:val="yellow"/>
        </w:rPr>
        <w:fldChar w:fldCharType="begin"/>
      </w:r>
      <w:r>
        <w:rPr>
          <w:rFonts w:ascii="Times New Roman" w:eastAsiaTheme="minorHAnsi" w:hAnsi="Times New Roman" w:cs="Times New Roman"/>
          <w:color w:val="0070C0"/>
          <w:sz w:val="22"/>
          <w:highlight w:val="yellow"/>
        </w:rPr>
        <w:instrText xml:space="preserve"> ADDIN EN.CITE </w:instrText>
      </w:r>
      <w:r>
        <w:rPr>
          <w:rFonts w:ascii="Times New Roman" w:eastAsiaTheme="minorHAnsi" w:hAnsi="Times New Roman" w:cs="Times New Roman"/>
          <w:color w:val="0070C0"/>
          <w:sz w:val="22"/>
          <w:highlight w:val="yellow"/>
        </w:rPr>
        <w:fldChar w:fldCharType="begin"/>
      </w:r>
      <w:r>
        <w:rPr>
          <w:rFonts w:ascii="Times New Roman" w:eastAsiaTheme="minorHAnsi" w:hAnsi="Times New Roman" w:cs="Times New Roman"/>
          <w:color w:val="0070C0"/>
          <w:sz w:val="22"/>
          <w:highlight w:val="yellow"/>
        </w:rPr>
        <w:instrText xml:space="preserve"> ADDIN EN.CITE.DATA </w:instrText>
      </w:r>
      <w:r>
        <w:rPr>
          <w:rFonts w:ascii="Times New Roman" w:eastAsiaTheme="minorHAnsi" w:hAnsi="Times New Roman" w:cs="Times New Roman"/>
          <w:color w:val="0070C0"/>
          <w:sz w:val="22"/>
          <w:highlight w:val="yellow"/>
        </w:rPr>
        <w:fldChar w:fldCharType="end"/>
      </w:r>
      <w:r>
        <w:rPr>
          <w:rFonts w:ascii="Times New Roman" w:eastAsiaTheme="minorHAnsi" w:hAnsi="Times New Roman" w:cs="Times New Roman"/>
          <w:color w:val="0070C0"/>
          <w:sz w:val="22"/>
          <w:highlight w:val="yellow"/>
        </w:rPr>
        <w:fldChar w:fldCharType="separate"/>
      </w:r>
      <w:r>
        <w:rPr>
          <w:rFonts w:ascii="Courier New" w:eastAsiaTheme="minorHAnsi" w:hAnsi="Courier New" w:cs="Courier New"/>
          <w:noProof/>
          <w:color w:val="0070C0"/>
          <w:sz w:val="22"/>
          <w:highlight w:val="yellow"/>
          <w:vertAlign w:val="superscript"/>
        </w:rPr>
        <w:t>39</w:t>
      </w:r>
      <w:r>
        <w:rPr>
          <w:rFonts w:ascii="Times New Roman" w:eastAsiaTheme="minorHAnsi" w:hAnsi="Times New Roman" w:cs="Times New Roman"/>
          <w:color w:val="0070C0"/>
          <w:sz w:val="22"/>
          <w:highlight w:val="yellow"/>
        </w:rPr>
        <w:fldChar w:fldCharType="end"/>
      </w:r>
      <w:r>
        <w:fldChar w:fldCharType="end"/>
      </w:r>
      <w:r>
        <w:rPr>
          <w:rFonts w:ascii="Times New Roman" w:eastAsiaTheme="minorHAnsi" w:hAnsi="Times New Roman" w:cs="Times New Roman"/>
          <w:color w:val="0070C0"/>
          <w:sz w:val="22"/>
          <w:highlight w:val="yellow"/>
        </w:rPr>
        <w:t xml:space="preserve"> </w:t>
      </w:r>
      <w:r>
        <w:rPr>
          <w:rFonts w:ascii="Times New Roman" w:eastAsiaTheme="minorHAnsi" w:hAnsi="Times New Roman" w:cs="Times New Roman"/>
          <w:color w:val="0070C0"/>
          <w:sz w:val="22"/>
          <w:highlight w:val="yellow"/>
        </w:rPr>
        <w:t>pressure settings</w:t>
      </w:r>
      <w:r>
        <w:rPr>
          <w:rFonts w:ascii="Times New Roman" w:eastAsiaTheme="minorHAnsi" w:hAnsi="Times New Roman" w:cs="Times New Roman"/>
          <w:color w:val="0070C0"/>
          <w:sz w:val="22"/>
          <w:highlight w:val="yellow"/>
        </w:rPr>
        <w:t xml:space="preserve"> </w:t>
      </w:r>
      <w:r>
        <w:fldChar w:fldCharType="begin"/>
      </w:r>
      <w:r>
        <w:instrText xml:space="preserve"> HYPERLINK \l "_ENREF_42"\o "Eguchi, 2022 #39"</w:instrText>
      </w:r>
      <w:r>
        <w:fldChar w:fldCharType="separate"/>
      </w:r>
      <w:r>
        <w:rPr>
          <w:rFonts w:ascii="Times New Roman" w:eastAsiaTheme="minorHAnsi" w:hAnsi="Times New Roman" w:cs="Times New Roman"/>
          <w:color w:val="0070C0"/>
          <w:sz w:val="22"/>
          <w:highlight w:val="yellow"/>
        </w:rPr>
        <w:fldChar w:fldCharType="begin"/>
      </w:r>
      <w:r>
        <w:rPr>
          <w:rFonts w:ascii="Times New Roman" w:eastAsiaTheme="minorHAnsi" w:hAnsi="Times New Roman" w:cs="Times New Roman"/>
          <w:color w:val="0070C0"/>
          <w:sz w:val="22"/>
          <w:highlight w:val="yellow"/>
        </w:rPr>
        <w:instrText xml:space="preserve"> ADDIN EN.CITE </w:instrText>
      </w:r>
      <w:r>
        <w:rPr>
          <w:rFonts w:ascii="Times New Roman" w:eastAsiaTheme="minorHAnsi" w:hAnsi="Times New Roman" w:cs="Times New Roman"/>
          <w:color w:val="0070C0"/>
          <w:sz w:val="22"/>
          <w:highlight w:val="yellow"/>
        </w:rPr>
        <w:fldChar w:fldCharType="begin"/>
      </w:r>
      <w:r>
        <w:rPr>
          <w:rFonts w:ascii="Times New Roman" w:eastAsiaTheme="minorHAnsi" w:hAnsi="Times New Roman" w:cs="Times New Roman"/>
          <w:color w:val="0070C0"/>
          <w:sz w:val="22"/>
          <w:highlight w:val="yellow"/>
        </w:rPr>
        <w:instrText xml:space="preserve"> ADDIN EN.CITE.DATA </w:instrText>
      </w:r>
      <w:r>
        <w:rPr>
          <w:rFonts w:ascii="Times New Roman" w:eastAsiaTheme="minorHAnsi" w:hAnsi="Times New Roman" w:cs="Times New Roman"/>
          <w:color w:val="0070C0"/>
          <w:sz w:val="22"/>
          <w:highlight w:val="yellow"/>
        </w:rPr>
        <w:fldChar w:fldCharType="end"/>
      </w:r>
      <w:r>
        <w:rPr>
          <w:rFonts w:ascii="Times New Roman" w:eastAsiaTheme="minorHAnsi" w:hAnsi="Times New Roman" w:cs="Times New Roman"/>
          <w:color w:val="0070C0"/>
          <w:sz w:val="22"/>
          <w:highlight w:val="yellow"/>
        </w:rPr>
        <w:fldChar w:fldCharType="separate"/>
      </w:r>
      <w:r>
        <w:rPr>
          <w:rFonts w:ascii="Courier New" w:eastAsiaTheme="minorHAnsi" w:hAnsi="Courier New" w:cs="Courier New"/>
          <w:noProof/>
          <w:color w:val="0070C0"/>
          <w:sz w:val="22"/>
          <w:highlight w:val="yellow"/>
          <w:vertAlign w:val="superscript"/>
        </w:rPr>
        <w:t>42</w:t>
      </w:r>
      <w:r>
        <w:rPr>
          <w:rFonts w:ascii="Times New Roman" w:eastAsiaTheme="minorHAnsi" w:hAnsi="Times New Roman" w:cs="Times New Roman"/>
          <w:color w:val="0070C0"/>
          <w:sz w:val="22"/>
          <w:highlight w:val="yellow"/>
        </w:rPr>
        <w:fldChar w:fldCharType="end"/>
      </w:r>
      <w:r>
        <w:fldChar w:fldCharType="end"/>
      </w:r>
      <w:r>
        <w:rPr>
          <w:rFonts w:ascii="Times New Roman" w:eastAsiaTheme="minorHAnsi" w:hAnsi="Times New Roman" w:cs="Times New Roman"/>
          <w:color w:val="0070C0"/>
          <w:sz w:val="22"/>
          <w:highlight w:val="yellow"/>
        </w:rPr>
        <w:t xml:space="preserve"> and duration of use</w:t>
      </w:r>
      <w:r>
        <w:fldChar w:fldCharType="begin"/>
      </w:r>
      <w:r>
        <w:instrText xml:space="preserve"> HYPERLINK \l "_ENREF_42"\o "Eguchi, 2022 #39"</w:instrText>
      </w:r>
      <w:r>
        <w:fldChar w:fldCharType="separate"/>
      </w:r>
      <w:r>
        <w:rPr>
          <w:rFonts w:ascii="Times New Roman" w:eastAsiaTheme="minorHAnsi" w:hAnsi="Times New Roman" w:cs="Times New Roman"/>
          <w:color w:val="0070C0"/>
          <w:sz w:val="22"/>
          <w:highlight w:val="yellow"/>
        </w:rPr>
        <w:fldChar w:fldCharType="begin"/>
      </w:r>
      <w:r>
        <w:rPr>
          <w:rFonts w:ascii="Times New Roman" w:eastAsiaTheme="minorHAnsi" w:hAnsi="Times New Roman" w:cs="Times New Roman"/>
          <w:color w:val="0070C0"/>
          <w:sz w:val="22"/>
          <w:highlight w:val="yellow"/>
        </w:rPr>
        <w:instrText xml:space="preserve"> ADDIN EN.CITE </w:instrText>
      </w:r>
      <w:r>
        <w:rPr>
          <w:rFonts w:ascii="Times New Roman" w:eastAsiaTheme="minorHAnsi" w:hAnsi="Times New Roman" w:cs="Times New Roman"/>
          <w:color w:val="0070C0"/>
          <w:sz w:val="22"/>
          <w:highlight w:val="yellow"/>
        </w:rPr>
        <w:fldChar w:fldCharType="begin"/>
      </w:r>
      <w:r>
        <w:rPr>
          <w:rFonts w:ascii="Times New Roman" w:eastAsiaTheme="minorHAnsi" w:hAnsi="Times New Roman" w:cs="Times New Roman"/>
          <w:color w:val="0070C0"/>
          <w:sz w:val="22"/>
          <w:highlight w:val="yellow"/>
        </w:rPr>
        <w:instrText xml:space="preserve"> ADDIN EN.CITE.DATA </w:instrText>
      </w:r>
      <w:r>
        <w:rPr>
          <w:rFonts w:ascii="Times New Roman" w:eastAsiaTheme="minorHAnsi" w:hAnsi="Times New Roman" w:cs="Times New Roman"/>
          <w:color w:val="0070C0"/>
          <w:sz w:val="22"/>
          <w:highlight w:val="yellow"/>
        </w:rPr>
        <w:fldChar w:fldCharType="end"/>
      </w:r>
      <w:r>
        <w:rPr>
          <w:rFonts w:ascii="Times New Roman" w:eastAsiaTheme="minorHAnsi" w:hAnsi="Times New Roman" w:cs="Times New Roman"/>
          <w:color w:val="0070C0"/>
          <w:sz w:val="22"/>
          <w:highlight w:val="yellow"/>
        </w:rPr>
        <w:fldChar w:fldCharType="separate"/>
      </w:r>
      <w:r>
        <w:rPr>
          <w:rFonts w:ascii="Courier New" w:eastAsiaTheme="minorHAnsi" w:hAnsi="Courier New" w:cs="Courier New"/>
          <w:noProof/>
          <w:color w:val="0070C0"/>
          <w:sz w:val="22"/>
          <w:highlight w:val="yellow"/>
          <w:vertAlign w:val="superscript"/>
        </w:rPr>
        <w:t>42</w:t>
      </w:r>
      <w:r>
        <w:rPr>
          <w:rFonts w:ascii="Times New Roman" w:eastAsiaTheme="minorHAnsi" w:hAnsi="Times New Roman" w:cs="Times New Roman"/>
          <w:color w:val="0070C0"/>
          <w:sz w:val="22"/>
          <w:highlight w:val="yellow"/>
        </w:rPr>
        <w:fldChar w:fldCharType="end"/>
      </w:r>
      <w:r>
        <w:fldChar w:fldCharType="end"/>
      </w:r>
      <w:r>
        <w:rPr>
          <w:rFonts w:ascii="Times New Roman" w:eastAsiaTheme="minorHAnsi" w:hAnsi="Times New Roman" w:cs="Times New Roman"/>
          <w:color w:val="0070C0"/>
          <w:sz w:val="22"/>
          <w:highlight w:val="yellow"/>
        </w:rPr>
        <w:t>).</w:t>
      </w:r>
      <w:r>
        <w:rPr>
          <w:rFonts w:ascii="Times New Roman" w:eastAsiaTheme="minorHAnsi" w:hAnsi="Times New Roman" w:cs="Times New Roman"/>
          <w:color w:val="0070C0"/>
          <w:sz w:val="22"/>
          <w:highlight w:val="yellow"/>
        </w:rPr>
        <w:t xml:space="preserve"> </w:t>
      </w:r>
      <w:r>
        <w:rPr>
          <w:rFonts w:ascii="Times New Roman" w:eastAsiaTheme="minorHAnsi" w:hAnsi="Times New Roman" w:cs="Times New Roman"/>
          <w:color w:val="0070C0"/>
          <w:sz w:val="22"/>
          <w:highlight w:val="yellow"/>
        </w:rPr>
        <w:t xml:space="preserve">However, as with this study, </w:t>
      </w:r>
      <w:r>
        <w:rPr>
          <w:rFonts w:ascii="Times New Roman" w:eastAsiaTheme="minorHAnsi" w:hAnsi="Times New Roman" w:cs="Times New Roman"/>
          <w:color w:val="0070C0"/>
          <w:sz w:val="22"/>
          <w:highlight w:val="yellow"/>
        </w:rPr>
        <w:t xml:space="preserve">the results are inconsistent. </w:t>
      </w:r>
      <w:r>
        <w:rPr>
          <w:rFonts w:ascii="Times New Roman" w:eastAsiaTheme="minorHAnsi" w:hAnsi="Times New Roman" w:cs="Times New Roman"/>
          <w:color w:val="0070C0"/>
          <w:sz w:val="22"/>
          <w:highlight w:val="yellow"/>
        </w:rPr>
        <w:t xml:space="preserve">These discrepancies include variations in study design, population characteristics, measurement methods, geographical and cultural influences, publication bias, confounding variables, sample size, patient heterogeneity, technological advancements, and differences in patient support and education. </w:t>
      </w:r>
    </w:p>
    <w:p>
      <w:pPr>
        <w:jc w:val="left"/>
        <w:spacing w:line="480" w:lineRule="auto"/>
        <w:rPr>
          <w:rFonts w:ascii="Times New Roman" w:eastAsiaTheme="minorHAnsi" w:hAnsi="Times New Roman" w:cs="Times New Roman"/>
          <w:sz w:val="22"/>
        </w:rPr>
      </w:pPr>
      <w:r>
        <w:rPr>
          <w:rFonts w:ascii="Times New Roman" w:eastAsiaTheme="minorHAnsi" w:hAnsi="Times New Roman" w:cs="Times New Roman"/>
          <w:sz w:val="22"/>
        </w:rPr>
        <w:t>In this study, the significant variables predicting CPAP compliance were the ratio of stage N1 at baseline PSG and health insurance coverage.</w:t>
      </w:r>
      <w:r>
        <w:rPr>
          <w:rFonts w:ascii="Times New Roman" w:eastAsiaTheme="minorHAnsi" w:hAnsi="Times New Roman" w:cs="Times New Roman"/>
          <w:sz w:val="22"/>
        </w:rPr>
        <w:t xml:space="preserve"> </w:t>
      </w:r>
      <w:bookmarkStart w:id="6" w:name="_Hlk149518915"/>
      <w:r>
        <w:rPr>
          <w:rFonts w:ascii="Times New Roman" w:eastAsiaTheme="minorHAnsi" w:hAnsi="Times New Roman" w:cs="Times New Roman"/>
          <w:color w:val="0070C0"/>
          <w:sz w:val="22"/>
          <w:highlight w:val="yellow"/>
        </w:rPr>
        <w:t>As this study was conducted in a Korean population under the Korean National Health Insurance System, further studies should be conducted including different ethnicities and socioeconomic statuses to generalize the findings to other countries.</w:t>
      </w:r>
      <w:r>
        <w:rPr>
          <w:rFonts w:ascii="Times New Roman" w:eastAsiaTheme="minorHAnsi" w:hAnsi="Times New Roman" w:cs="Times New Roman"/>
          <w:color w:val="0070C0"/>
          <w:sz w:val="22"/>
          <w:highlight w:val="yellow"/>
        </w:rPr>
        <w:fldChar w:fldCharType="begin"/>
      </w:r>
      <w:r>
        <w:rPr>
          <w:rFonts w:ascii="Times New Roman" w:eastAsiaTheme="minorHAnsi" w:hAnsi="Times New Roman" w:cs="Times New Roman"/>
          <w:color w:val="0070C0"/>
          <w:sz w:val="22"/>
          <w:highlight w:val="yellow"/>
        </w:rPr>
        <w:instrText xml:space="preserve"> ADDIN EN.CITE </w:instrText>
      </w:r>
      <w:r>
        <w:rPr>
          <w:rFonts w:ascii="Times New Roman" w:eastAsiaTheme="minorHAnsi" w:hAnsi="Times New Roman" w:cs="Times New Roman"/>
          <w:color w:val="0070C0"/>
          <w:sz w:val="22"/>
          <w:highlight w:val="yellow"/>
        </w:rPr>
        <w:fldChar w:fldCharType="begin"/>
      </w:r>
      <w:r>
        <w:rPr>
          <w:rFonts w:ascii="Times New Roman" w:eastAsiaTheme="minorHAnsi" w:hAnsi="Times New Roman" w:cs="Times New Roman"/>
          <w:color w:val="0070C0"/>
          <w:sz w:val="22"/>
          <w:highlight w:val="yellow"/>
        </w:rPr>
        <w:instrText xml:space="preserve"> ADDIN EN.CITE.DATA </w:instrText>
      </w:r>
      <w:r>
        <w:rPr>
          <w:rFonts w:ascii="Times New Roman" w:eastAsiaTheme="minorHAnsi" w:hAnsi="Times New Roman" w:cs="Times New Roman"/>
          <w:color w:val="0070C0"/>
          <w:sz w:val="22"/>
          <w:highlight w:val="yellow"/>
        </w:rPr>
        <w:fldChar w:fldCharType="end"/>
      </w:r>
      <w:r>
        <w:rPr>
          <w:rFonts w:ascii="Times New Roman" w:eastAsiaTheme="minorHAnsi" w:hAnsi="Times New Roman" w:cs="Times New Roman"/>
          <w:color w:val="0070C0"/>
          <w:sz w:val="22"/>
          <w:highlight w:val="yellow"/>
        </w:rPr>
        <w:fldChar w:fldCharType="separate"/>
      </w:r>
      <w:r>
        <w:fldChar w:fldCharType="begin"/>
      </w:r>
      <w:r>
        <w:instrText xml:space="preserve"> HYPERLINK \l "_ENREF_45"\o "Campbell, 2012 #41"</w:instrText>
      </w:r>
      <w:r>
        <w:fldChar w:fldCharType="separate"/>
      </w:r>
      <w:r>
        <w:rPr>
          <w:rFonts w:ascii="Courier New" w:eastAsiaTheme="minorHAnsi" w:hAnsi="Courier New" w:cs="Courier New"/>
          <w:noProof/>
          <w:color w:val="0070C0"/>
          <w:sz w:val="22"/>
          <w:highlight w:val="yellow"/>
          <w:vertAlign w:val="superscript"/>
        </w:rPr>
        <w:t>45</w:t>
      </w:r>
      <w:r>
        <w:fldChar w:fldCharType="end"/>
      </w:r>
      <w:r>
        <w:rPr>
          <w:rFonts w:ascii="Courier New" w:eastAsiaTheme="minorHAnsi" w:hAnsi="Courier New" w:cs="Courier New"/>
          <w:noProof/>
          <w:color w:val="0070C0"/>
          <w:sz w:val="22"/>
          <w:highlight w:val="yellow"/>
          <w:vertAlign w:val="superscript"/>
        </w:rPr>
        <w:t>,</w:t>
      </w:r>
      <w:r>
        <w:fldChar w:fldCharType="begin"/>
      </w:r>
      <w:r>
        <w:instrText xml:space="preserve"> HYPERLINK \l "_ENREF_46"\o "McMillan, 2015 #44"</w:instrText>
      </w:r>
      <w:r>
        <w:fldChar w:fldCharType="separate"/>
      </w:r>
      <w:r>
        <w:rPr>
          <w:rFonts w:ascii="Courier New" w:eastAsiaTheme="minorHAnsi" w:hAnsi="Courier New" w:cs="Courier New"/>
          <w:noProof/>
          <w:color w:val="0070C0"/>
          <w:sz w:val="22"/>
          <w:highlight w:val="yellow"/>
          <w:vertAlign w:val="superscript"/>
        </w:rPr>
        <w:t>46</w:t>
      </w:r>
      <w:r>
        <w:fldChar w:fldCharType="end"/>
      </w:r>
      <w:r>
        <w:rPr>
          <w:rFonts w:ascii="Times New Roman" w:eastAsiaTheme="minorHAnsi" w:hAnsi="Times New Roman" w:cs="Times New Roman"/>
          <w:color w:val="0070C0"/>
          <w:sz w:val="22"/>
          <w:highlight w:val="yellow"/>
        </w:rPr>
        <w:fldChar w:fldCharType="end"/>
      </w:r>
      <w:r>
        <w:rPr>
          <w:rFonts w:ascii="Times New Roman" w:eastAsiaTheme="minorHAnsi" w:hAnsi="Times New Roman" w:cs="Times New Roman"/>
          <w:color w:val="0070C0"/>
          <w:sz w:val="22"/>
          <w:highlight w:val="yellow"/>
        </w:rPr>
        <w:t xml:space="preserve"> </w:t>
      </w:r>
      <w:r>
        <w:rPr>
          <w:rFonts w:ascii="Times New Roman" w:eastAsiaTheme="minorHAnsi" w:hAnsi="Times New Roman" w:cs="Times New Roman"/>
          <w:sz w:val="22"/>
          <w:highlight w:val="yellow"/>
        </w:rPr>
        <w:t>It is necessary to confirm whether the effect of a high stage N1 ratio on compliance is reproduced in a larger sample study and in individuals from other countries. If replicated, it can be considered a useful clinical predictor in the future.</w:t>
      </w:r>
      <w:r>
        <w:rPr>
          <w:rFonts w:ascii="Times New Roman" w:eastAsiaTheme="minorHAnsi" w:hAnsi="Times New Roman" w:cs="Times New Roman"/>
          <w:sz w:val="22"/>
        </w:rPr>
        <w:t xml:space="preserve"> </w:t>
      </w:r>
      <w:r>
        <w:rPr>
          <w:rFonts w:ascii="Times New Roman" w:eastAsiaTheme="minorHAnsi" w:hAnsi="Times New Roman" w:cs="Times New Roman"/>
          <w:color w:val="0070C0"/>
          <w:sz w:val="22"/>
          <w:highlight w:val="yellow"/>
        </w:rPr>
        <w:t>A comprehensive review and analysis of these predictor</w:t>
      </w:r>
      <w:r>
        <w:rPr>
          <w:rFonts w:ascii="Times New Roman" w:eastAsiaTheme="minorHAnsi" w:hAnsi="Times New Roman" w:cs="Times New Roman"/>
          <w:color w:val="0070C0"/>
          <w:sz w:val="22"/>
          <w:highlight w:val="yellow"/>
        </w:rPr>
        <w:t>s</w:t>
      </w:r>
      <w:r>
        <w:rPr>
          <w:rFonts w:ascii="Times New Roman" w:eastAsiaTheme="minorHAnsi" w:hAnsi="Times New Roman" w:cs="Times New Roman"/>
          <w:color w:val="0070C0"/>
          <w:sz w:val="22"/>
          <w:highlight w:val="yellow"/>
        </w:rPr>
        <w:t xml:space="preserve"> will provide valuable insights to enhance CPAP compliance and improve the management of OSA.</w:t>
      </w:r>
    </w:p>
    <w:p>
      <w:pPr>
        <w:jc w:val="left"/>
        <w:spacing w:line="480" w:lineRule="auto"/>
        <w:rPr>
          <w:rFonts w:ascii="Times New Roman" w:eastAsiaTheme="minorHAnsi" w:hAnsi="Times New Roman" w:cs="Times New Roman"/>
          <w:sz w:val="22"/>
        </w:rPr>
      </w:pPr>
      <w:bookmarkEnd w:id="5"/>
      <w:bookmarkEnd w:id="6"/>
    </w:p>
    <w:p>
      <w:pPr>
        <w:adjustRightInd/>
        <w:wordWrap/>
        <w:jc w:val="left"/>
        <w:spacing w:line="480" w:lineRule="auto"/>
        <w:rPr>
          <w:rFonts w:ascii="Times New Roman" w:eastAsiaTheme="minorHAnsi" w:hAnsi="Times New Roman" w:cs="Times New Roman"/>
          <w:b/>
          <w:color w:val="000000"/>
          <w:sz w:val="22"/>
          <w:kern w:val="0"/>
        </w:rPr>
      </w:pPr>
      <w:r>
        <w:rPr>
          <w:rFonts w:ascii="Times New Roman" w:eastAsiaTheme="minorHAnsi" w:hAnsi="Times New Roman" w:cs="Times New Roman"/>
          <w:b/>
          <w:color w:val="000000"/>
          <w:sz w:val="22"/>
          <w:kern w:val="0"/>
        </w:rPr>
        <w:t>Funding</w:t>
      </w:r>
    </w:p>
    <w:p>
      <w:pPr>
        <w:adjustRightInd/>
        <w:ind w:leftChars="213" w:left="426"/>
        <w:wordWrap/>
        <w:jc w:val="left"/>
        <w:spacing w:line="480" w:lineRule="auto"/>
        <w:rPr>
          <w:rFonts w:ascii="Times New Roman" w:eastAsiaTheme="minorHAnsi" w:hAnsi="Times New Roman" w:cs="Times New Roman"/>
          <w:color w:val="000000"/>
          <w:sz w:val="22"/>
          <w:kern w:val="0"/>
        </w:rPr>
      </w:pPr>
      <w:r>
        <w:rPr>
          <w:rFonts w:ascii="Times New Roman" w:eastAsiaTheme="minorHAnsi" w:hAnsi="Times New Roman" w:cs="Times New Roman"/>
          <w:color w:val="000000"/>
          <w:sz w:val="22"/>
          <w:kern w:val="0"/>
        </w:rPr>
        <w:t>This research was supported by the National Research Foundation of Korea (NRF) grant funded by the Korea government (MSIT), grant number NRF-2020R1A2C1007527.</w:t>
      </w:r>
    </w:p>
    <w:p>
      <w:pPr>
        <w:adjustRightInd/>
        <w:ind w:leftChars="213" w:left="426"/>
        <w:wordWrap/>
        <w:jc w:val="left"/>
        <w:spacing w:line="480" w:lineRule="auto"/>
        <w:rPr>
          <w:rFonts w:ascii="Times New Roman" w:eastAsiaTheme="minorHAnsi" w:hAnsi="Times New Roman" w:cs="Times New Roman"/>
          <w:sz w:val="22"/>
        </w:rPr>
      </w:pPr>
    </w:p>
    <w:p>
      <w:pPr>
        <w:adjustRightInd/>
        <w:wordWrap/>
        <w:jc w:val="left"/>
        <w:spacing w:line="480" w:lineRule="auto"/>
        <w:rPr>
          <w:rFonts w:ascii="Times New Roman" w:eastAsiaTheme="minorHAnsi" w:hAnsi="Times New Roman" w:cs="Times New Roman"/>
          <w:b/>
          <w:color w:val="000000"/>
          <w:sz w:val="22"/>
          <w:kern w:val="0"/>
        </w:rPr>
      </w:pPr>
      <w:r>
        <w:rPr>
          <w:rFonts w:ascii="Times New Roman" w:eastAsiaTheme="minorHAnsi" w:hAnsi="Times New Roman" w:cs="Times New Roman"/>
          <w:b/>
          <w:color w:val="000000"/>
          <w:sz w:val="22"/>
          <w:kern w:val="0"/>
        </w:rPr>
        <w:t>D</w:t>
      </w:r>
      <w:r>
        <w:rPr>
          <w:rFonts w:ascii="Times New Roman" w:eastAsiaTheme="minorHAnsi" w:hAnsi="Times New Roman" w:cs="Times New Roman"/>
          <w:b/>
          <w:color w:val="000000"/>
          <w:sz w:val="22"/>
          <w:kern w:val="0"/>
        </w:rPr>
        <w:t>isclosure</w:t>
      </w:r>
    </w:p>
    <w:p>
      <w:pPr>
        <w:adjustRightInd/>
        <w:ind w:leftChars="213" w:left="426"/>
        <w:wordWrap/>
        <w:jc w:val="left"/>
        <w:spacing w:line="480" w:lineRule="auto"/>
        <w:rPr>
          <w:rFonts w:ascii="Times New Roman" w:eastAsiaTheme="minorHAnsi" w:hAnsi="Times New Roman" w:cs="Times New Roman"/>
          <w:color w:val="000000"/>
          <w:sz w:val="22"/>
          <w:kern w:val="0"/>
        </w:rPr>
      </w:pPr>
      <w:r>
        <w:rPr>
          <w:rFonts w:ascii="Times New Roman" w:eastAsiaTheme="minorHAnsi" w:hAnsi="Times New Roman" w:cs="Times New Roman"/>
          <w:color w:val="000000"/>
          <w:sz w:val="22"/>
          <w:kern w:val="0"/>
        </w:rPr>
        <w:t>The</w:t>
      </w:r>
      <w:r>
        <w:rPr>
          <w:rFonts w:ascii="Times New Roman" w:eastAsiaTheme="minorHAnsi" w:hAnsi="Times New Roman" w:cs="Times New Roman"/>
          <w:color w:val="000000"/>
          <w:sz w:val="22"/>
          <w:kern w:val="0"/>
        </w:rPr>
        <w:t xml:space="preserve"> authors have no potential conflicts of interest to disclose.</w:t>
      </w:r>
    </w:p>
    <w:p>
      <w:pPr>
        <w:autoSpaceDE/>
        <w:autoSpaceDN/>
        <w:widowControl/>
        <w:wordWrap/>
        <w:jc w:val="left"/>
        <w:rPr>
          <w:rFonts w:ascii="Times New Roman" w:eastAsiaTheme="minorHAnsi" w:hAnsi="Times New Roman" w:cs="Times New Roman"/>
          <w:b/>
          <w:sz w:val="22"/>
          <w:kern w:val="0"/>
        </w:rPr>
        <w:sectPr>
          <w:pgSz w:w="11906" w:h="16838"/>
          <w:pgMar w:top="1701" w:right="1440" w:bottom="1440" w:left="1440" w:header="851" w:footer="992" w:gutter="0"/>
          <w:cols/>
          <w:docGrid w:linePitch="360"/>
          <w:lnNumType w:countBy="1" w:restart="continuous"/>
        </w:sectPr>
      </w:pPr>
    </w:p>
    <w:p>
      <w:pPr>
        <w:autoSpaceDE/>
        <w:autoSpaceDN/>
        <w:widowControl/>
        <w:wordWrap/>
        <w:jc w:val="left"/>
        <w:rPr>
          <w:rFonts w:ascii="Times New Roman" w:eastAsiaTheme="minorHAnsi" w:hAnsi="Times New Roman" w:cs="Times New Roman"/>
          <w:sz w:val="22"/>
        </w:rPr>
      </w:pPr>
      <w:r>
        <w:rPr>
          <w:rFonts w:ascii="Times New Roman" w:eastAsiaTheme="minorHAnsi" w:hAnsi="Times New Roman" w:cs="Times New Roman"/>
          <w:b/>
          <w:sz w:val="22"/>
          <w:kern w:val="0"/>
        </w:rPr>
        <w:t>REFERENCES</w:t>
      </w:r>
    </w:p>
    <w:p>
      <w:pPr>
        <w:pStyle w:val="EndNoteBibliography"/>
        <w:ind w:left="720" w:hanging="720"/>
        <w:rPr>
          <w:rFonts w:ascii="Courier New" w:hAnsi="Courier New" w:cs="Courier New"/>
        </w:rPr>
      </w:pPr>
      <w:r>
        <w:rPr>
          <w:rFonts w:ascii="Times New Roman" w:hAnsi="Times New Roman" w:cs="Times New Roman"/>
          <w:sz w:val="22"/>
        </w:rPr>
        <w:fldChar w:fldCharType="begin"/>
      </w:r>
      <w:r>
        <w:rPr>
          <w:rFonts w:ascii="Times New Roman" w:hAnsi="Times New Roman" w:cs="Times New Roman"/>
          <w:sz w:val="22"/>
        </w:rPr>
        <w:instrText xml:space="preserve"> ADDIN EN.REFLIST </w:instrText>
      </w:r>
      <w:r>
        <w:rPr>
          <w:rFonts w:ascii="Times New Roman" w:hAnsi="Times New Roman" w:cs="Times New Roman"/>
          <w:sz w:val="22"/>
        </w:rPr>
        <w:fldChar w:fldCharType="separate"/>
      </w:r>
      <w:bookmarkStart w:id="7" w:name="_ENREF_1"/>
      <w:r>
        <w:t>1.</w:t>
      </w:r>
      <w:r>
        <w:tab/>
      </w:r>
      <w:r>
        <w:rPr>
          <w:rFonts w:ascii="Courier New" w:hAnsi="Courier New" w:cs="Courier New"/>
        </w:rPr>
        <w:t>Greenberg H, Lakticova V Scharf SM. Obstructive sleep apnea: clinical features, evaluation, and principles of management. In: Kryger MH, Roth T and Dement WC (eds.),  Principles and Practice of Sleep Medicine. Elsevier, 2017.</w:t>
      </w:r>
      <w:bookmarkEnd w:id="7"/>
    </w:p>
    <w:p>
      <w:pPr>
        <w:pStyle w:val="EndNoteBibliography"/>
        <w:ind w:left="720" w:hanging="720"/>
        <w:rPr>
          <w:rFonts w:ascii="Courier New" w:hAnsi="Courier New" w:cs="Courier New"/>
        </w:rPr>
      </w:pPr>
      <w:bookmarkStart w:id="8" w:name="_ENREF_2"/>
      <w:r>
        <w:t>2.</w:t>
      </w:r>
      <w:r>
        <w:tab/>
      </w:r>
      <w:r>
        <w:rPr>
          <w:rFonts w:ascii="Courier New" w:hAnsi="Courier New" w:cs="Courier New"/>
        </w:rPr>
        <w:t>Anders TF, Carskadon MA Dement WC. Sleep and sleepiness in children and adolescents. Pediatr Clin North Am 1980; 27: 29-43.</w:t>
      </w:r>
      <w:bookmarkEnd w:id="8"/>
    </w:p>
    <w:p>
      <w:pPr>
        <w:pStyle w:val="EndNoteBibliography"/>
        <w:ind w:left="720" w:hanging="720"/>
        <w:rPr>
          <w:rFonts w:ascii="Courier New" w:hAnsi="Courier New" w:cs="Courier New"/>
        </w:rPr>
      </w:pPr>
      <w:bookmarkStart w:id="9" w:name="_ENREF_3"/>
      <w:r>
        <w:t>3.</w:t>
      </w:r>
      <w:r>
        <w:tab/>
      </w:r>
      <w:r>
        <w:rPr>
          <w:rFonts w:ascii="Courier New" w:hAnsi="Courier New" w:cs="Courier New"/>
        </w:rPr>
        <w:t>Freedman N. Positive airway pressure treatment for obstructive sleep apnea. In: Kryger MH, Roth T and Dement WC (eds.),  Principles and Practice of Sleep Medicine. Elsevier, 2017.</w:t>
      </w:r>
      <w:bookmarkEnd w:id="9"/>
    </w:p>
    <w:p>
      <w:pPr>
        <w:pStyle w:val="EndNoteBibliography"/>
        <w:ind w:left="720" w:hanging="720"/>
        <w:rPr>
          <w:rFonts w:ascii="Courier New" w:hAnsi="Courier New" w:cs="Courier New"/>
        </w:rPr>
      </w:pPr>
      <w:bookmarkStart w:id="10" w:name="_ENREF_4"/>
      <w:r>
        <w:t>4.</w:t>
      </w:r>
      <w:r>
        <w:tab/>
      </w:r>
      <w:r>
        <w:rPr>
          <w:rFonts w:ascii="Courier New" w:hAnsi="Courier New" w:cs="Courier New"/>
        </w:rPr>
        <w:t>Holty JE Guilleminault C. Surgical options for the treatment of obstructive sleep apnea. Med Clin North Am 2010; 94: 479-515.</w:t>
      </w:r>
      <w:bookmarkEnd w:id="10"/>
    </w:p>
    <w:p>
      <w:pPr>
        <w:pStyle w:val="EndNoteBibliography"/>
        <w:ind w:left="720" w:hanging="720"/>
        <w:rPr>
          <w:rFonts w:ascii="Courier New" w:hAnsi="Courier New" w:cs="Courier New"/>
        </w:rPr>
      </w:pPr>
      <w:bookmarkStart w:id="11" w:name="_ENREF_5"/>
      <w:r>
        <w:t>5.</w:t>
      </w:r>
      <w:r>
        <w:tab/>
      </w:r>
      <w:r>
        <w:rPr>
          <w:rFonts w:ascii="Courier New" w:hAnsi="Courier New" w:cs="Courier New"/>
        </w:rPr>
        <w:t>Campos-Rodriguez F, Perez-Ronchel J, Grilo-Reina A, Lima-Alvarez J, Benitez MA Almeida-Gonzalez C. Long-term effect of continuous positive airway pressure on BP in patients with hypertension and sleep apnea. Chest 2007; 132: 1847-1852.</w:t>
      </w:r>
      <w:bookmarkEnd w:id="11"/>
    </w:p>
    <w:p>
      <w:pPr>
        <w:pStyle w:val="EndNoteBibliography"/>
        <w:ind w:left="720" w:hanging="720"/>
        <w:rPr>
          <w:rFonts w:ascii="Courier New" w:hAnsi="Courier New" w:cs="Courier New"/>
        </w:rPr>
      </w:pPr>
      <w:bookmarkStart w:id="12" w:name="_ENREF_6"/>
      <w:r>
        <w:t>6.</w:t>
      </w:r>
      <w:r>
        <w:tab/>
      </w:r>
      <w:r>
        <w:rPr>
          <w:rFonts w:ascii="Courier New" w:hAnsi="Courier New" w:cs="Courier New"/>
        </w:rPr>
        <w:t>Marin JM, Carrizo SJ, Vicente E Agusti AG. Long-term cardiovascular outcomes in men with obstructive sleep apnoea-hypopnoea with or without treatment with continuous positive airway pressure: an observational study. Lancet 2005; 365: 1046-1053.</w:t>
      </w:r>
      <w:bookmarkEnd w:id="12"/>
    </w:p>
    <w:p>
      <w:pPr>
        <w:pStyle w:val="EndNoteBibliography"/>
        <w:ind w:left="720" w:hanging="720"/>
        <w:rPr>
          <w:rFonts w:ascii="Courier New" w:hAnsi="Courier New" w:cs="Courier New"/>
        </w:rPr>
      </w:pPr>
      <w:bookmarkStart w:id="13" w:name="_ENREF_7"/>
      <w:r>
        <w:t>7.</w:t>
      </w:r>
      <w:r>
        <w:tab/>
      </w:r>
      <w:r>
        <w:rPr>
          <w:rFonts w:ascii="Courier New" w:hAnsi="Courier New" w:cs="Courier New"/>
        </w:rPr>
        <w:t>Parthasarathy S, Subramanian S Quan SF. A multicenter prospective comparative effectiveness study of the effect of physician certification and center accreditation on patient-centered outcomes in obstructive sleep apnea. Journal of Clinical Sleep Medicine 2014; 10: 243-249.</w:t>
      </w:r>
      <w:bookmarkEnd w:id="13"/>
    </w:p>
    <w:p>
      <w:pPr>
        <w:pStyle w:val="EndNoteBibliography"/>
        <w:ind w:left="720" w:hanging="720"/>
        <w:rPr>
          <w:rFonts w:ascii="Courier New" w:hAnsi="Courier New" w:cs="Courier New"/>
        </w:rPr>
      </w:pPr>
      <w:bookmarkStart w:id="14" w:name="_ENREF_8"/>
      <w:r>
        <w:t>8.</w:t>
      </w:r>
      <w:r>
        <w:tab/>
      </w:r>
      <w:r>
        <w:rPr>
          <w:rFonts w:ascii="Courier New" w:hAnsi="Courier New" w:cs="Courier New"/>
        </w:rPr>
        <w:t>Kribbs NB, Pack AI, Kline LR, Smith PL, Schwartz AR, Schubert NM, et al. Objective measurement of patterns of nasal CPAP use by patients with obstructive sleep apnea. American Review of Respiratory Disease 2012.</w:t>
      </w:r>
      <w:bookmarkEnd w:id="14"/>
    </w:p>
    <w:p>
      <w:pPr>
        <w:pStyle w:val="EndNoteBibliography"/>
        <w:ind w:left="720" w:hanging="720"/>
        <w:rPr>
          <w:rFonts w:ascii="Courier New" w:hAnsi="Courier New" w:cs="Courier New"/>
        </w:rPr>
      </w:pPr>
      <w:bookmarkStart w:id="15" w:name="_ENREF_9"/>
      <w:r>
        <w:t>9.</w:t>
      </w:r>
      <w:r>
        <w:tab/>
      </w:r>
      <w:r>
        <w:rPr>
          <w:rFonts w:ascii="Courier New" w:hAnsi="Courier New" w:cs="Courier New"/>
        </w:rPr>
        <w:t>Mcardle N, Devereux G, Heidarnejad H, Engleman HM, Mackay TW Douglas NJ. Long-term use of CPAP therapy for sleep apnea/hypopnea syndrome. American journal of respiratory and critical care medicine 1999; 159: 1108-1114.</w:t>
      </w:r>
      <w:bookmarkEnd w:id="15"/>
    </w:p>
    <w:p>
      <w:pPr>
        <w:pStyle w:val="EndNoteBibliography"/>
        <w:ind w:left="720" w:hanging="720"/>
        <w:rPr>
          <w:rFonts w:ascii="Courier New" w:hAnsi="Courier New" w:cs="Courier New"/>
        </w:rPr>
      </w:pPr>
      <w:bookmarkStart w:id="16" w:name="_ENREF_10"/>
      <w:r>
        <w:t>10.</w:t>
      </w:r>
      <w:r>
        <w:tab/>
      </w:r>
      <w:r>
        <w:rPr>
          <w:rFonts w:ascii="Courier New" w:hAnsi="Courier New" w:cs="Courier New"/>
        </w:rPr>
        <w:t>Choi J-A, Yoon I-Y, Han E-G Lee S. Subjective and objective CPAP compliance in patients with obstructive sleep apnea syndrome. Sleep Medicine Research 2011; 2: 63-68.</w:t>
      </w:r>
      <w:bookmarkEnd w:id="16"/>
    </w:p>
    <w:p>
      <w:pPr>
        <w:pStyle w:val="EndNoteBibliography"/>
        <w:ind w:left="720" w:hanging="720"/>
        <w:rPr>
          <w:rFonts w:ascii="Courier New" w:hAnsi="Courier New" w:cs="Courier New"/>
        </w:rPr>
      </w:pPr>
      <w:bookmarkStart w:id="17" w:name="_ENREF_11"/>
      <w:r>
        <w:t>11.</w:t>
      </w:r>
      <w:r>
        <w:tab/>
      </w:r>
      <w:r>
        <w:rPr>
          <w:rFonts w:ascii="Courier New" w:hAnsi="Courier New" w:cs="Courier New"/>
        </w:rPr>
        <w:t>WANG J-H, KIM Y-R, JANG Y-J, LEE B-J CHUNG Y-S. Compliance of auto-adjusting positive airway pressure in Korean obstructive sleep apnea patients. Journal of Rhinology 2006: 92-96.</w:t>
      </w:r>
      <w:bookmarkEnd w:id="17"/>
    </w:p>
    <w:p>
      <w:pPr>
        <w:pStyle w:val="EndNoteBibliography"/>
        <w:ind w:left="720" w:hanging="720"/>
        <w:rPr>
          <w:rFonts w:ascii="Courier New" w:hAnsi="Courier New" w:cs="Courier New"/>
        </w:rPr>
      </w:pPr>
      <w:bookmarkStart w:id="18" w:name="_ENREF_12"/>
      <w:r>
        <w:t>12.</w:t>
      </w:r>
      <w:r>
        <w:tab/>
      </w:r>
      <w:r>
        <w:rPr>
          <w:rFonts w:ascii="Courier New" w:hAnsi="Courier New" w:cs="Courier New"/>
        </w:rPr>
        <w:t>Pieh C, Bach M, Popp R, Jara C, Crönlein T, Hajak G, et al. Insomnia symptoms influence CPAP compliance. Sleep and Breathing 2013; 17: 99-104.</w:t>
      </w:r>
      <w:bookmarkEnd w:id="18"/>
    </w:p>
    <w:p>
      <w:pPr>
        <w:pStyle w:val="EndNoteBibliography"/>
        <w:ind w:left="720" w:hanging="720"/>
        <w:rPr>
          <w:rFonts w:ascii="Courier New" w:hAnsi="Courier New" w:cs="Courier New"/>
        </w:rPr>
      </w:pPr>
      <w:bookmarkStart w:id="19" w:name="_ENREF_13"/>
      <w:r>
        <w:t>13.</w:t>
      </w:r>
      <w:r>
        <w:tab/>
      </w:r>
      <w:r>
        <w:rPr>
          <w:rFonts w:ascii="Courier New" w:hAnsi="Courier New" w:cs="Courier New"/>
        </w:rPr>
        <w:t>Massie CA, Hart RW, Peralez K Richards GN. Effects of humidification on nasal symptoms and compliance in sleep apnea patients using continuous positive airway pressure. Chest 1999; 116: 403-408.</w:t>
      </w:r>
      <w:bookmarkEnd w:id="19"/>
    </w:p>
    <w:p>
      <w:pPr>
        <w:pStyle w:val="EndNoteBibliography"/>
        <w:ind w:left="720" w:hanging="720"/>
        <w:rPr>
          <w:rFonts w:ascii="Courier New" w:hAnsi="Courier New" w:cs="Courier New"/>
        </w:rPr>
      </w:pPr>
      <w:bookmarkStart w:id="20" w:name="_ENREF_14"/>
      <w:r>
        <w:t>14.</w:t>
      </w:r>
      <w:r>
        <w:tab/>
      </w:r>
      <w:r>
        <w:rPr>
          <w:rFonts w:ascii="Courier New" w:hAnsi="Courier New" w:cs="Courier New"/>
        </w:rPr>
        <w:t>Philip P, Bioulac S, Altena E, Morin CM, Ghorayeb I, Coste O, et al. Specific insomnia symptoms and self-efficacy explain CPAP compliance in a sample of OSAS patients. PLoS One 2018; 13: e0195343.</w:t>
      </w:r>
      <w:bookmarkEnd w:id="20"/>
    </w:p>
    <w:p>
      <w:pPr>
        <w:pStyle w:val="EndNoteBibliography"/>
        <w:ind w:left="720" w:hanging="720"/>
        <w:rPr>
          <w:rFonts w:ascii="Courier New" w:hAnsi="Courier New" w:cs="Courier New"/>
        </w:rPr>
      </w:pPr>
      <w:bookmarkStart w:id="21" w:name="_ENREF_15"/>
      <w:r>
        <w:t>15.</w:t>
      </w:r>
      <w:r>
        <w:tab/>
      </w:r>
      <w:r>
        <w:rPr>
          <w:rFonts w:ascii="Courier New" w:hAnsi="Courier New" w:cs="Courier New"/>
        </w:rPr>
        <w:t>Lewis KE, Seale L, Bartle IE, Watkins AJ Ebden P. Early predictors of CPAP use for the treatment of obstructive sleep apnea. Sleep 2004; 27: 134-138.</w:t>
      </w:r>
      <w:bookmarkEnd w:id="21"/>
    </w:p>
    <w:p>
      <w:pPr>
        <w:pStyle w:val="EndNoteBibliography"/>
        <w:ind w:left="720" w:hanging="720"/>
        <w:rPr>
          <w:rFonts w:ascii="Courier New" w:hAnsi="Courier New" w:cs="Courier New"/>
        </w:rPr>
      </w:pPr>
      <w:bookmarkStart w:id="22" w:name="_ENREF_16"/>
      <w:r>
        <w:t>16.</w:t>
      </w:r>
      <w:r>
        <w:tab/>
      </w:r>
      <w:r>
        <w:rPr>
          <w:rFonts w:ascii="Courier New" w:hAnsi="Courier New" w:cs="Courier New"/>
        </w:rPr>
        <w:t>Kwon OE, Hah Y Hong IH. Various Factors Affecting Short-Term Compliance Rates of CPAP in OSA Patients: in the Age of Insurance Coverage in Korea. Journal of Rhinology 2021; 28: 36-43.</w:t>
      </w:r>
      <w:bookmarkEnd w:id="22"/>
    </w:p>
    <w:p>
      <w:pPr>
        <w:pStyle w:val="EndNoteBibliography"/>
        <w:ind w:left="720" w:hanging="720"/>
        <w:rPr>
          <w:rFonts w:ascii="Courier New" w:hAnsi="Courier New" w:cs="Courier New"/>
        </w:rPr>
      </w:pPr>
      <w:bookmarkStart w:id="23" w:name="_ENREF_17"/>
      <w:r>
        <w:t>17.</w:t>
      </w:r>
      <w:r>
        <w:tab/>
      </w:r>
      <w:r>
        <w:rPr>
          <w:rFonts w:ascii="Courier New" w:hAnsi="Courier New" w:cs="Courier New"/>
        </w:rPr>
        <w:t>Collen J, Lettieri C, Kelly W Roop S. Clinical and polysomnographic predictors of short-term continuous positive airway pressure compliance. Chest 2009; 135: 704-709.</w:t>
      </w:r>
      <w:bookmarkEnd w:id="23"/>
    </w:p>
    <w:p>
      <w:pPr>
        <w:pStyle w:val="EndNoteBibliography"/>
        <w:ind w:left="720" w:hanging="720"/>
        <w:rPr>
          <w:rFonts w:ascii="Courier New" w:hAnsi="Courier New" w:cs="Courier New"/>
        </w:rPr>
      </w:pPr>
      <w:bookmarkStart w:id="24" w:name="_ENREF_18"/>
      <w:r>
        <w:t>18.</w:t>
      </w:r>
      <w:r>
        <w:tab/>
      </w:r>
      <w:r>
        <w:rPr>
          <w:rFonts w:ascii="Courier New" w:hAnsi="Courier New" w:cs="Courier New"/>
        </w:rPr>
        <w:t>Platt AB, Field SH, Asch DA, Chen Z, Patel NP, Gupta R, et al. Neighborhood of residence is associated with daily adherence to CPAP therapy. Sleep 2009; 32: 799-806.</w:t>
      </w:r>
      <w:bookmarkEnd w:id="24"/>
    </w:p>
    <w:p>
      <w:pPr>
        <w:pStyle w:val="EndNoteBibliography"/>
        <w:ind w:left="720" w:hanging="720"/>
        <w:rPr>
          <w:rFonts w:ascii="Courier New" w:hAnsi="Courier New" w:cs="Courier New"/>
        </w:rPr>
      </w:pPr>
      <w:bookmarkStart w:id="25" w:name="_ENREF_19"/>
      <w:r>
        <w:t>19.</w:t>
      </w:r>
      <w:r>
        <w:tab/>
      </w:r>
      <w:r>
        <w:rPr>
          <w:rFonts w:ascii="Courier New" w:hAnsi="Courier New" w:cs="Courier New"/>
        </w:rPr>
        <w:t>Sleep_Medicine AAo. International Classification of Sleep Disorders. American Academy of Sleep Medicine, 2014.</w:t>
      </w:r>
      <w:bookmarkEnd w:id="25"/>
    </w:p>
    <w:p>
      <w:pPr>
        <w:pStyle w:val="EndNoteBibliography"/>
        <w:ind w:left="720" w:hanging="720"/>
        <w:rPr>
          <w:rFonts w:ascii="Courier New" w:hAnsi="Courier New" w:cs="Courier New"/>
        </w:rPr>
      </w:pPr>
      <w:bookmarkStart w:id="26" w:name="_ENREF_20"/>
      <w:r>
        <w:t>20.</w:t>
      </w:r>
      <w:r>
        <w:tab/>
      </w:r>
      <w:r>
        <w:rPr>
          <w:rFonts w:ascii="Courier New" w:hAnsi="Courier New" w:cs="Courier New"/>
        </w:rPr>
        <w:t>Sohn SI, Kim DH, Lee MY Cho YW. The reliability and validity of the Korean version of the Pittsburgh Sleep Quality Index. Sleep and Breathing 2012; 16: 803-812.</w:t>
      </w:r>
      <w:bookmarkEnd w:id="26"/>
    </w:p>
    <w:p>
      <w:pPr>
        <w:pStyle w:val="EndNoteBibliography"/>
        <w:ind w:left="720" w:hanging="720"/>
        <w:rPr>
          <w:rFonts w:ascii="Courier New" w:hAnsi="Courier New" w:cs="Courier New"/>
        </w:rPr>
      </w:pPr>
      <w:bookmarkStart w:id="27" w:name="_ENREF_21"/>
      <w:r>
        <w:t>21.</w:t>
      </w:r>
      <w:r>
        <w:tab/>
      </w:r>
      <w:r>
        <w:rPr>
          <w:rFonts w:ascii="Courier New" w:hAnsi="Courier New" w:cs="Courier New"/>
        </w:rPr>
        <w:t>Cho YW, Song ML Morin CM. Validation of a Korean version of the insomnia severity index. Journal of clinical neurology 2014; 10: 210-215.</w:t>
      </w:r>
      <w:bookmarkEnd w:id="27"/>
    </w:p>
    <w:p>
      <w:pPr>
        <w:pStyle w:val="EndNoteBibliography"/>
        <w:ind w:left="720" w:hanging="720"/>
        <w:rPr>
          <w:rFonts w:ascii="Courier New" w:hAnsi="Courier New" w:cs="Courier New"/>
        </w:rPr>
      </w:pPr>
      <w:bookmarkStart w:id="28" w:name="_ENREF_22"/>
      <w:r>
        <w:t>22.</w:t>
      </w:r>
      <w:r>
        <w:tab/>
      </w:r>
      <w:r>
        <w:rPr>
          <w:rFonts w:ascii="Courier New" w:hAnsi="Courier New" w:cs="Courier New"/>
        </w:rPr>
        <w:t>Cho YW, Lee JH, Son HK, Lee SH, Shin C Johns MW. The reliability and validity of the Korean version of the Epworth sleepiness scale. Sleep and Breathing 2011; 15: 377-384.</w:t>
      </w:r>
      <w:bookmarkEnd w:id="28"/>
    </w:p>
    <w:p>
      <w:pPr>
        <w:pStyle w:val="EndNoteBibliography"/>
        <w:ind w:left="720" w:hanging="720"/>
        <w:rPr>
          <w:rFonts w:ascii="Courier New" w:hAnsi="Courier New" w:cs="Courier New"/>
        </w:rPr>
      </w:pPr>
      <w:bookmarkStart w:id="29" w:name="_ENREF_23"/>
      <w:r>
        <w:t>23.</w:t>
      </w:r>
      <w:r>
        <w:tab/>
      </w:r>
      <w:r>
        <w:rPr>
          <w:rFonts w:ascii="Courier New" w:hAnsi="Courier New" w:cs="Courier New"/>
        </w:rPr>
        <w:t>Rhee M, Lee Y Park S. A standardization study of Beck Depression Inventory I; Korean version (K-BDI): reliability and factor analysis. Korean J Psychopathol 1995; 4: 77-95.</w:t>
      </w:r>
      <w:bookmarkEnd w:id="29"/>
    </w:p>
    <w:p>
      <w:pPr>
        <w:pStyle w:val="EndNoteBibliography"/>
        <w:ind w:left="720" w:hanging="720"/>
        <w:rPr>
          <w:rFonts w:ascii="Courier New" w:hAnsi="Courier New" w:cs="Courier New"/>
        </w:rPr>
      </w:pPr>
      <w:bookmarkStart w:id="30" w:name="_ENREF_24"/>
      <w:r>
        <w:t>24.</w:t>
      </w:r>
      <w:r>
        <w:tab/>
      </w:r>
      <w:r>
        <w:rPr>
          <w:rFonts w:ascii="Courier New" w:hAnsi="Courier New" w:cs="Courier New"/>
        </w:rPr>
        <w:t>Iber C American Academy of Sleep Medicine. The AASM manual for the scoring of sleep and associated events : rules, terminology and technical specifications. American Academy of Sleep Medicine, Westchester, IL, 2007.</w:t>
      </w:r>
      <w:bookmarkEnd w:id="30"/>
    </w:p>
    <w:p>
      <w:pPr>
        <w:pStyle w:val="EndNoteBibliography"/>
        <w:ind w:left="720" w:hanging="720"/>
        <w:rPr>
          <w:rFonts w:ascii="Courier New" w:hAnsi="Courier New" w:cs="Courier New"/>
        </w:rPr>
      </w:pPr>
      <w:bookmarkStart w:id="31" w:name="_ENREF_25"/>
      <w:r>
        <w:t>25.</w:t>
      </w:r>
      <w:r>
        <w:tab/>
      </w:r>
      <w:r>
        <w:rPr>
          <w:rFonts w:ascii="Courier New" w:hAnsi="Courier New" w:cs="Courier New"/>
        </w:rPr>
        <w:t>Zampogna E, Spanevello A, Lucioni AM, Facchetti C, Sotgiu G, Saderi L, et al. Adherence to continuous positive airway pressure in patients with obstructive sleep apnoea. A ten year real life study. Respiratory medicine 2019; 150: 95-100.</w:t>
      </w:r>
      <w:bookmarkEnd w:id="31"/>
    </w:p>
    <w:p>
      <w:pPr>
        <w:pStyle w:val="EndNoteBibliography"/>
        <w:ind w:left="720" w:hanging="720"/>
        <w:rPr>
          <w:rFonts w:ascii="Courier New" w:hAnsi="Courier New" w:cs="Courier New"/>
        </w:rPr>
      </w:pPr>
      <w:bookmarkStart w:id="32" w:name="_ENREF_26"/>
      <w:r>
        <w:t>26.</w:t>
      </w:r>
      <w:r>
        <w:tab/>
      </w:r>
      <w:r>
        <w:rPr>
          <w:rFonts w:ascii="Courier New" w:hAnsi="Courier New" w:cs="Courier New"/>
        </w:rPr>
        <w:t>Tan B, Tan A, Chan YH, Mok Y, Wong HS Hsu PP. Adherence to continuous positive airway pressure therapy in Singaporean patients with obstructive sleep apnea. American journal of otolaryngology 2018; 39: 501-506.</w:t>
      </w:r>
      <w:bookmarkEnd w:id="32"/>
    </w:p>
    <w:p>
      <w:pPr>
        <w:pStyle w:val="EndNoteBibliography"/>
        <w:ind w:left="720" w:hanging="720"/>
        <w:rPr>
          <w:rFonts w:ascii="Courier New" w:hAnsi="Courier New" w:cs="Courier New"/>
        </w:rPr>
      </w:pPr>
      <w:bookmarkStart w:id="33" w:name="_ENREF_27"/>
      <w:r>
        <w:t>27.</w:t>
      </w:r>
      <w:r>
        <w:tab/>
      </w:r>
      <w:r>
        <w:rPr>
          <w:rFonts w:ascii="Courier New" w:hAnsi="Courier New" w:cs="Courier New"/>
        </w:rPr>
        <w:t>Kim MJ, Kim MJ, Bae SH, Park CH Kim D-K. Predictors of adherence with positive airway pressure treatment in patients with obstructive sleep apnea in Korean. Journal of Rhinology 2015; 22: 89-95.</w:t>
      </w:r>
      <w:bookmarkEnd w:id="33"/>
    </w:p>
    <w:p>
      <w:pPr>
        <w:pStyle w:val="EndNoteBibliography"/>
        <w:ind w:left="720" w:hanging="720"/>
        <w:rPr>
          <w:rFonts w:ascii="Courier New" w:hAnsi="Courier New" w:cs="Courier New"/>
        </w:rPr>
      </w:pPr>
      <w:bookmarkStart w:id="34" w:name="_ENREF_28"/>
      <w:r>
        <w:t>28.</w:t>
      </w:r>
      <w:r>
        <w:tab/>
      </w:r>
      <w:r>
        <w:rPr>
          <w:rFonts w:ascii="Courier New" w:hAnsi="Courier New" w:cs="Courier New"/>
        </w:rPr>
        <w:t>Park P, Kim J, Song YJ, Lim JH, Cho SW, Won T-B, et al. Influencing factors on CPAP adherence and anatomic characteristics of upper airway in OSA subjects. Medicine 2017; 96.</w:t>
      </w:r>
      <w:bookmarkEnd w:id="34"/>
    </w:p>
    <w:p>
      <w:pPr>
        <w:pStyle w:val="EndNoteBibliography"/>
        <w:ind w:left="720" w:hanging="720"/>
        <w:rPr>
          <w:rFonts w:ascii="Courier New" w:hAnsi="Courier New" w:cs="Courier New"/>
        </w:rPr>
      </w:pPr>
      <w:bookmarkStart w:id="35" w:name="_ENREF_29"/>
      <w:r>
        <w:t>29.</w:t>
      </w:r>
      <w:r>
        <w:tab/>
      </w:r>
      <w:r>
        <w:rPr>
          <w:rFonts w:ascii="Courier New" w:hAnsi="Courier New" w:cs="Courier New"/>
        </w:rPr>
        <w:t>Tsuyumu M, Tsurumoto T, Iimura J, Nakajima T Kojima H. Ten-year adherence to continuous positive airway pressure treatment in patients with moderate-to-severe obstructive sleep apnea. Sleep &amp; Breathing= Schlaf &amp; Atmung 2020; 24: 1565.</w:t>
      </w:r>
      <w:bookmarkEnd w:id="35"/>
    </w:p>
    <w:p>
      <w:pPr>
        <w:pStyle w:val="EndNoteBibliography"/>
        <w:ind w:left="720" w:hanging="720"/>
        <w:rPr>
          <w:rFonts w:ascii="Courier New" w:hAnsi="Courier New" w:cs="Courier New"/>
        </w:rPr>
      </w:pPr>
      <w:bookmarkStart w:id="36" w:name="_ENREF_30"/>
      <w:r>
        <w:t>30.</w:t>
      </w:r>
      <w:r>
        <w:tab/>
      </w:r>
      <w:r>
        <w:rPr>
          <w:rFonts w:ascii="Courier New" w:hAnsi="Courier New" w:cs="Courier New"/>
        </w:rPr>
        <w:t>Campos-Rodriguez F, Martinez-Alonso M, Sanchez-de-la-Torre M, Barbe F Network SS. Long-term adherence to continuous positive airway pressure therapy in non-sleepy sleep apnea patients. Sleep medicine 2016; 17: 1-6.</w:t>
      </w:r>
      <w:bookmarkEnd w:id="36"/>
    </w:p>
    <w:p>
      <w:pPr>
        <w:pStyle w:val="EndNoteBibliography"/>
        <w:ind w:left="720" w:hanging="720"/>
        <w:rPr>
          <w:rFonts w:ascii="Courier New" w:hAnsi="Courier New" w:cs="Courier New"/>
        </w:rPr>
      </w:pPr>
      <w:bookmarkStart w:id="37" w:name="_ENREF_31"/>
      <w:r>
        <w:t>31.</w:t>
      </w:r>
      <w:r>
        <w:tab/>
      </w:r>
      <w:r>
        <w:rPr>
          <w:rFonts w:ascii="Courier New" w:hAnsi="Courier New" w:cs="Courier New"/>
        </w:rPr>
        <w:t xml:space="preserve">Nsair A, Hupin D, Chomette S, Barthélémy JC Roche F. Factors </w:t>
      </w:r>
      <w:r>
        <w:rPr>
          <w:rFonts w:ascii="Courier New" w:hAnsi="Courier New" w:cs="Courier New"/>
        </w:rPr>
        <w:t>influencing adherence to auto-CPAP: an observational monocentric study comparing patients with and without cardiovascular diseases. Frontiers in neurology 2019; 10: 801.</w:t>
      </w:r>
      <w:bookmarkEnd w:id="37"/>
    </w:p>
    <w:p>
      <w:pPr>
        <w:pStyle w:val="EndNoteBibliography"/>
        <w:ind w:left="720" w:hanging="720"/>
        <w:rPr>
          <w:rFonts w:ascii="Courier New" w:hAnsi="Courier New" w:cs="Courier New"/>
        </w:rPr>
      </w:pPr>
      <w:bookmarkStart w:id="38" w:name="_ENREF_32"/>
      <w:r>
        <w:t>32.</w:t>
      </w:r>
      <w:r>
        <w:tab/>
      </w:r>
      <w:r>
        <w:rPr>
          <w:rFonts w:ascii="Courier New" w:hAnsi="Courier New" w:cs="Courier New"/>
        </w:rPr>
        <w:t>Lee CHK, Leow LC, Song PR, Li H Ong TH. Acceptance and adherence to continuous positive airway pressure therapy in patients with obstructive sleep apnea (OSA) in a Southeast Asian privately funded healthcare system. Sleep Science 2017; 10: 57.</w:t>
      </w:r>
      <w:bookmarkEnd w:id="38"/>
    </w:p>
    <w:p>
      <w:pPr>
        <w:pStyle w:val="EndNoteBibliography"/>
        <w:ind w:left="720" w:hanging="720"/>
        <w:rPr>
          <w:rFonts w:ascii="Courier New" w:hAnsi="Courier New" w:cs="Courier New"/>
        </w:rPr>
      </w:pPr>
      <w:bookmarkStart w:id="39" w:name="_ENREF_33"/>
      <w:r>
        <w:t>33.</w:t>
      </w:r>
      <w:r>
        <w:tab/>
      </w:r>
      <w:r>
        <w:rPr>
          <w:rFonts w:ascii="Courier New" w:hAnsi="Courier New" w:cs="Courier New"/>
        </w:rPr>
        <w:t>Florés M, Martinez-Alonso M, Sánchezde-la-Torre A, Aldomà A, Galera E, Barbé F, et al. Predictors of long-term adherence to continuous positive airway pressure in patients with obstructive sleep apnoea and acute coronary syndrome. Journal of thoracic disease 2018; 10: S124.</w:t>
      </w:r>
      <w:bookmarkEnd w:id="39"/>
    </w:p>
    <w:p>
      <w:pPr>
        <w:pStyle w:val="EndNoteBibliography"/>
        <w:ind w:left="720" w:hanging="720"/>
        <w:rPr>
          <w:rFonts w:ascii="Courier New" w:hAnsi="Courier New" w:cs="Courier New"/>
        </w:rPr>
      </w:pPr>
      <w:bookmarkStart w:id="40" w:name="_ENREF_34"/>
      <w:r>
        <w:t>34.</w:t>
      </w:r>
      <w:r>
        <w:tab/>
      </w:r>
      <w:r>
        <w:rPr>
          <w:rFonts w:ascii="Courier New" w:hAnsi="Courier New" w:cs="Courier New"/>
        </w:rPr>
        <w:t>Palm A, Midgren B, Theorell-Haglöw J, Ekström M, Ljunggren M, Janson C, et al. Factors influencing adherence to continuous positive airway pressure treatment in obstructive sleep apnea and mortality associated with treatment failure - a national registry-based cohort study. Sleep Med 2018; 51: 85-91.</w:t>
      </w:r>
      <w:bookmarkEnd w:id="40"/>
    </w:p>
    <w:p>
      <w:pPr>
        <w:pStyle w:val="EndNoteBibliography"/>
        <w:ind w:left="720" w:hanging="720"/>
        <w:rPr>
          <w:rFonts w:ascii="Courier New" w:hAnsi="Courier New" w:cs="Courier New"/>
        </w:rPr>
      </w:pPr>
      <w:bookmarkStart w:id="41" w:name="_ENREF_35"/>
      <w:r>
        <w:t>35.</w:t>
      </w:r>
      <w:r>
        <w:tab/>
      </w:r>
      <w:r>
        <w:rPr>
          <w:rFonts w:ascii="Courier New" w:hAnsi="Courier New" w:cs="Courier New"/>
        </w:rPr>
        <w:t>Wallace D, Vargas S, Schwartz S, Aloia M Shafazand S. Determinants of continuous positive airway pressure adherence in a sleep clinic cohort of South Florida Hispanic veterans. Sleep and breathing 2013; 17: 351-363.</w:t>
      </w:r>
      <w:bookmarkEnd w:id="41"/>
    </w:p>
    <w:p>
      <w:pPr>
        <w:pStyle w:val="EndNoteBibliography"/>
        <w:ind w:left="720" w:hanging="720"/>
        <w:rPr>
          <w:rFonts w:ascii="Courier New" w:hAnsi="Courier New" w:cs="Courier New"/>
        </w:rPr>
      </w:pPr>
      <w:bookmarkStart w:id="42" w:name="_ENREF_36"/>
      <w:r>
        <w:t>36.</w:t>
      </w:r>
      <w:r>
        <w:tab/>
      </w:r>
      <w:r>
        <w:rPr>
          <w:rFonts w:ascii="Courier New" w:hAnsi="Courier New" w:cs="Courier New"/>
        </w:rPr>
        <w:t>Madbouly EM, Nadeem R, Nida M, Molnar J, Aggarwal S Loomba R. The role of severity of obstructive sleep apnea measured by apnea-hypopnea index in predicting compliance with pressure therapy, a meta-analysis. Am J Ther 2014; 21: 260-264.</w:t>
      </w:r>
      <w:bookmarkEnd w:id="42"/>
    </w:p>
    <w:p>
      <w:pPr>
        <w:pStyle w:val="EndNoteBibliography"/>
        <w:ind w:left="720" w:hanging="720"/>
        <w:rPr>
          <w:rFonts w:ascii="Courier New" w:hAnsi="Courier New" w:cs="Courier New"/>
        </w:rPr>
      </w:pPr>
      <w:bookmarkStart w:id="43" w:name="_ENREF_37"/>
      <w:r>
        <w:t>37.</w:t>
      </w:r>
      <w:r>
        <w:tab/>
      </w:r>
      <w:r>
        <w:rPr>
          <w:rFonts w:ascii="Courier New" w:hAnsi="Courier New" w:cs="Courier New"/>
        </w:rPr>
        <w:t>Turnbull CD, Bratton DJ, Craig SE, Kohler M Stradling JR. In patients with minimally symptomatic OSA can baseline characteristics and early patterns of CPAP usage predict those who are likely to be longer-term users of CPAP. J Thorac Dis 2016; 8: 276-281.</w:t>
      </w:r>
      <w:bookmarkEnd w:id="43"/>
    </w:p>
    <w:p>
      <w:pPr>
        <w:pStyle w:val="EndNoteBibliography"/>
        <w:ind w:left="720" w:hanging="720"/>
        <w:rPr>
          <w:rFonts w:ascii="Courier New" w:hAnsi="Courier New" w:cs="Courier New"/>
        </w:rPr>
      </w:pPr>
      <w:bookmarkStart w:id="44" w:name="_ENREF_38"/>
      <w:r>
        <w:t>38.</w:t>
      </w:r>
      <w:r>
        <w:tab/>
      </w:r>
      <w:r>
        <w:rPr>
          <w:rFonts w:ascii="Courier New" w:hAnsi="Courier New" w:cs="Courier New"/>
        </w:rPr>
        <w:t>Ebden KELLSIEBAJWP. Early Predictors of CPAP Use for the Treatment of Obstructive Sleep Apnea. SLEEP 2004; 27: 134-138.</w:t>
      </w:r>
      <w:bookmarkEnd w:id="44"/>
    </w:p>
    <w:p>
      <w:pPr>
        <w:pStyle w:val="EndNoteBibliography"/>
        <w:ind w:left="720" w:hanging="720"/>
        <w:rPr>
          <w:rFonts w:ascii="Courier New" w:hAnsi="Courier New" w:cs="Courier New"/>
        </w:rPr>
      </w:pPr>
      <w:bookmarkStart w:id="45" w:name="_ENREF_39"/>
      <w:r>
        <w:t>39.</w:t>
      </w:r>
      <w:r>
        <w:tab/>
      </w:r>
      <w:r>
        <w:rPr>
          <w:rFonts w:ascii="Courier New" w:hAnsi="Courier New" w:cs="Courier New"/>
        </w:rPr>
        <w:t>Riachy M, Najem S, Iskandar M, Choucair J, Ibrahim I Juvelikian G. Factors predicting CPAP adherence in obstructive sleep apnea syndrome. Sleep Breath 2017; 21: 295-302.</w:t>
      </w:r>
      <w:bookmarkEnd w:id="45"/>
    </w:p>
    <w:p>
      <w:pPr>
        <w:pStyle w:val="EndNoteBibliography"/>
        <w:ind w:left="720" w:hanging="720"/>
        <w:rPr>
          <w:rFonts w:ascii="Courier New" w:hAnsi="Courier New" w:cs="Courier New"/>
        </w:rPr>
      </w:pPr>
      <w:bookmarkStart w:id="46" w:name="_ENREF_40"/>
      <w:r>
        <w:t>40.</w:t>
      </w:r>
      <w:r>
        <w:tab/>
      </w:r>
      <w:r>
        <w:rPr>
          <w:rFonts w:ascii="Courier New" w:hAnsi="Courier New" w:cs="Courier New"/>
        </w:rPr>
        <w:t>Wallace DM, Sawyer AM Shafazand S. Comorbid insomnia symptoms predict lower 6-month adherence to CPAP in US veterans with obstructive sleep apnea. Sleep Breath 2018; 22: 5-15.</w:t>
      </w:r>
      <w:bookmarkEnd w:id="46"/>
    </w:p>
    <w:p>
      <w:pPr>
        <w:pStyle w:val="EndNoteBibliography"/>
        <w:ind w:left="720" w:hanging="720"/>
        <w:rPr>
          <w:rFonts w:ascii="Courier New" w:hAnsi="Courier New" w:cs="Courier New"/>
        </w:rPr>
      </w:pPr>
      <w:bookmarkStart w:id="47" w:name="_ENREF_41"/>
      <w:r>
        <w:t>41.</w:t>
      </w:r>
      <w:r>
        <w:tab/>
      </w:r>
      <w:r>
        <w:rPr>
          <w:rFonts w:ascii="Courier New" w:hAnsi="Courier New" w:cs="Courier New"/>
        </w:rPr>
        <w:t>Wickwire EM, Smith MT, Birnbaum S Collop NA. Sleep maintenance insomnia complaints predict poor CPAP adherence: A clinical case series. Sleep Med 2010; 11: 772-776.</w:t>
      </w:r>
      <w:bookmarkEnd w:id="47"/>
    </w:p>
    <w:p>
      <w:pPr>
        <w:pStyle w:val="EndNoteBibliography"/>
        <w:ind w:left="720" w:hanging="720"/>
        <w:rPr>
          <w:rFonts w:ascii="Courier New" w:hAnsi="Courier New" w:cs="Courier New"/>
        </w:rPr>
      </w:pPr>
      <w:bookmarkStart w:id="48" w:name="_ENREF_42"/>
      <w:r>
        <w:t>42.</w:t>
      </w:r>
      <w:r>
        <w:tab/>
      </w:r>
      <w:r>
        <w:rPr>
          <w:rFonts w:ascii="Courier New" w:hAnsi="Courier New" w:cs="Courier New"/>
        </w:rPr>
        <w:t>Eguchi K, Yabuuchi T, Nambu M, Takeyama H, Azuma S, Chin K, et al. Investigation on factors related to poor CPAP adherence using machine learning: a pilot study. Sci Rep 2022; 12: 19563.</w:t>
      </w:r>
      <w:bookmarkEnd w:id="48"/>
    </w:p>
    <w:p>
      <w:pPr>
        <w:pStyle w:val="EndNoteBibliography"/>
        <w:ind w:left="720" w:hanging="720"/>
        <w:rPr>
          <w:rFonts w:ascii="Courier New" w:hAnsi="Courier New" w:cs="Courier New"/>
        </w:rPr>
      </w:pPr>
      <w:bookmarkStart w:id="49" w:name="_ENREF_43"/>
      <w:r>
        <w:t>43.</w:t>
      </w:r>
      <w:r>
        <w:tab/>
      </w:r>
      <w:r>
        <w:rPr>
          <w:rFonts w:ascii="Courier New" w:hAnsi="Courier New" w:cs="Courier New"/>
        </w:rPr>
        <w:t>Drake CL, Day R, Hudgel D, Stefadu Y, Parks M, Syron ML, et al. Sleep during titration predicts continuous positive airway pressure compliance. Sleep 2003; 26: 308-311.</w:t>
      </w:r>
      <w:bookmarkEnd w:id="49"/>
    </w:p>
    <w:p>
      <w:pPr>
        <w:pStyle w:val="EndNoteBibliography"/>
        <w:ind w:left="720" w:hanging="720"/>
        <w:rPr>
          <w:rFonts w:ascii="Courier New" w:hAnsi="Courier New" w:cs="Courier New"/>
        </w:rPr>
      </w:pPr>
      <w:bookmarkStart w:id="50" w:name="_ENREF_44"/>
      <w:r>
        <w:t>44.</w:t>
      </w:r>
      <w:r>
        <w:tab/>
      </w:r>
      <w:r>
        <w:rPr>
          <w:rFonts w:ascii="Courier New" w:hAnsi="Courier New" w:cs="Courier New"/>
        </w:rPr>
        <w:t>Shirahata T, Uchida Y, Uchida T, Shinomiya S, Sato H, Yamazaki S, et al. Improvement of sleep parameters by titration polysomnography could predict adherence to positive airway pressure therapy in obstructive sleep apnea. J Clin Sleep Med 2023; 19: 1465-1473.</w:t>
      </w:r>
      <w:bookmarkEnd w:id="50"/>
    </w:p>
    <w:p>
      <w:pPr>
        <w:pStyle w:val="EndNoteBibliography"/>
        <w:ind w:left="720" w:hanging="720"/>
        <w:rPr>
          <w:rFonts w:ascii="Courier New" w:hAnsi="Courier New" w:cs="Courier New"/>
        </w:rPr>
      </w:pPr>
      <w:bookmarkStart w:id="51" w:name="_ENREF_45"/>
      <w:r>
        <w:t>45.</w:t>
      </w:r>
      <w:r>
        <w:tab/>
      </w:r>
      <w:r>
        <w:rPr>
          <w:rFonts w:ascii="Courier New" w:hAnsi="Courier New" w:cs="Courier New"/>
        </w:rPr>
        <w:t xml:space="preserve">Campbell A, Neill A Lory R. Ethnicity and socioeconomic status predict initial continuous positive airway pressure compliance in New </w:t>
      </w:r>
      <w:r>
        <w:rPr>
          <w:rFonts w:ascii="Courier New" w:hAnsi="Courier New" w:cs="Courier New"/>
        </w:rPr>
        <w:t>Zealand adults with obstructive sleep apnoea. Intern Med J 2012; 42: e95-101.</w:t>
      </w:r>
      <w:bookmarkEnd w:id="51"/>
    </w:p>
    <w:p>
      <w:pPr>
        <w:pStyle w:val="EndNoteBibliography"/>
        <w:ind w:left="720" w:hanging="720"/>
        <w:rPr>
          <w:rFonts w:ascii="Courier New" w:hAnsi="Courier New" w:cs="Courier New"/>
        </w:rPr>
      </w:pPr>
      <w:bookmarkStart w:id="52" w:name="_ENREF_46"/>
      <w:r>
        <w:t>46.</w:t>
      </w:r>
      <w:r>
        <w:tab/>
      </w:r>
      <w:r>
        <w:rPr>
          <w:rFonts w:ascii="Courier New" w:hAnsi="Courier New" w:cs="Courier New"/>
        </w:rPr>
        <w:t>McMillan A, Bratton DJ, Faria R, Laskawiec-Szkonter M, Griffin S, Davies RJ, et al. A multicentre randomised controlled trial and economic evaluation of continuous positive airway pressure for the treatment of obstructive sleep apnoea syndrome in older people: PREDICT. Health Technol Assess 2015; 19: 1-188.</w:t>
      </w:r>
      <w:bookmarkEnd w:id="52"/>
    </w:p>
    <w:p>
      <w:pPr>
        <w:ind w:leftChars="283" w:left="566" w:firstLine="1"/>
        <w:autoSpaceDE/>
        <w:autoSpaceDN/>
        <w:widowControl/>
        <w:wordWrap/>
        <w:jc w:val="left"/>
        <w:spacing w:line="480" w:lineRule="auto"/>
        <w:rPr>
          <w:rFonts w:ascii="Times New Roman" w:hAnsi="Times New Roman" w:cs="Times New Roman"/>
          <w:sz w:val="22"/>
        </w:rPr>
      </w:pPr>
      <w:r>
        <w:rPr>
          <w:rFonts w:ascii="Times New Roman" w:hAnsi="Times New Roman" w:cs="Times New Roman"/>
          <w:sz w:val="22"/>
        </w:rPr>
        <w:fldChar w:fldCharType="end"/>
      </w:r>
    </w:p>
    <w:p>
      <w:pPr>
        <w:ind w:leftChars="283" w:left="566" w:firstLine="1"/>
        <w:autoSpaceDE/>
        <w:autoSpaceDN/>
        <w:widowControl/>
        <w:wordWrap/>
        <w:jc w:val="left"/>
        <w:spacing w:line="480" w:lineRule="auto"/>
        <w:rPr>
          <w:rFonts w:ascii="Times New Roman" w:hAnsi="Times New Roman" w:cs="Times New Roman"/>
          <w:sz w:val="22"/>
        </w:rPr>
      </w:pPr>
    </w:p>
    <w:p>
      <w:pPr>
        <w:autoSpaceDE/>
        <w:autoSpaceDN/>
        <w:widowControl/>
        <w:wordWrap/>
        <w:jc w:val="left"/>
        <w:spacing w:line="480" w:lineRule="auto"/>
        <w:rPr>
          <w:rFonts w:ascii="Times New Roman" w:eastAsiaTheme="minorHAnsi" w:hAnsi="Times New Roman" w:cs="Times New Roman"/>
          <w:b/>
          <w:sz w:val="22"/>
          <w:kern w:val="0"/>
        </w:rPr>
        <w:sectPr>
          <w:pgSz w:w="11906" w:h="16838"/>
          <w:pgMar w:top="1701" w:right="1440" w:bottom="1440" w:left="1440" w:header="851" w:footer="992" w:gutter="0"/>
          <w:cols/>
          <w:docGrid w:linePitch="360"/>
        </w:sectPr>
      </w:pPr>
    </w:p>
    <w:p>
      <w:pPr>
        <w:adjustRightInd/>
        <w:wordWrap/>
        <w:jc w:val="left"/>
        <w:spacing w:line="480" w:lineRule="auto"/>
        <w:rPr>
          <w:rFonts w:ascii="Times New Roman" w:eastAsiaTheme="minorHAnsi" w:hAnsi="Times New Roman" w:cs="Times New Roman"/>
          <w:b/>
          <w:sz w:val="22"/>
          <w:kern w:val="0"/>
        </w:rPr>
      </w:pPr>
      <w:r>
        <w:rPr>
          <w:rFonts w:ascii="Times New Roman" w:eastAsiaTheme="minorHAnsi" w:hAnsi="Times New Roman" w:cs="Times New Roman"/>
          <w:b/>
          <w:sz w:val="22"/>
          <w:kern w:val="0"/>
        </w:rPr>
        <w:t>Tables</w:t>
      </w:r>
    </w:p>
    <w:p>
      <w:pPr>
        <w:rPr>
          <w:rFonts w:ascii="Times New Roman" w:hAnsi="Times New Roman" w:cs="Times New Roman"/>
          <w:sz w:val="22"/>
        </w:rPr>
      </w:pPr>
      <w:bookmarkStart w:id="53" w:name="_Hlk149524503"/>
      <w:r>
        <w:rPr>
          <w:rFonts w:ascii="Times New Roman" w:hAnsi="Times New Roman" w:cs="Times New Roman"/>
          <w:b/>
          <w:bCs/>
          <w:sz w:val="22"/>
        </w:rPr>
        <w:t>Table 1</w:t>
      </w:r>
      <w:r>
        <w:rPr>
          <w:rFonts w:ascii="Times New Roman" w:hAnsi="Times New Roman" w:cs="Times New Roman"/>
          <w:b/>
          <w:bCs/>
          <w:sz w:val="22"/>
        </w:rPr>
        <w:t>.</w:t>
      </w:r>
      <w:r>
        <w:rPr>
          <w:rFonts w:ascii="Times New Roman" w:hAnsi="Times New Roman" w:cs="Times New Roman"/>
          <w:sz w:val="22"/>
        </w:rPr>
        <w:t xml:space="preserve"> Demographic and clinical characteristics of compliant and non-compliant with CPAP therapy</w:t>
      </w:r>
    </w:p>
    <w:p>
      <w:pPr>
        <w:rPr>
          <w:rFonts w:ascii="Times New Roman" w:hAnsi="Times New Roman" w:cs="Times New Roman"/>
          <w:sz w:val="22"/>
        </w:rPr>
      </w:pPr>
    </w:p>
    <w:tbl>
      <w:tblPr>
        <w:tblW w:w="9581" w:type="dxa"/>
        <w:tblInd w:w="55" w:type="dxa"/>
        <w:tblLook w:val="0000" w:firstRow="0" w:lastRow="0" w:firstColumn="0" w:lastColumn="0" w:noHBand="0" w:noVBand="0"/>
        <w:tblLayout w:type="fixed"/>
        <w:tblCellMar>
          <w:top w:w="55" w:type="dxa"/>
          <w:left w:w="55" w:type="dxa"/>
          <w:bottom w:w="55" w:type="dxa"/>
          <w:right w:w="55" w:type="dxa"/>
        </w:tblCellMar>
      </w:tblPr>
      <w:tblGrid>
        <w:gridCol w:w="2777"/>
        <w:gridCol w:w="1843"/>
        <w:gridCol w:w="1276"/>
        <w:gridCol w:w="1559"/>
        <w:gridCol w:w="2126"/>
      </w:tblGrid>
      <w:tr>
        <w:tc>
          <w:tcPr>
            <w:tcW w:w="2777" w:type="dxa"/>
            <w:tcBorders>
              <w:top w:val="single" w:sz="4" w:space="0" w:color="auto"/>
              <w:bottom w:val="single" w:sz="4" w:space="0" w:color="auto"/>
            </w:tcBorders>
          </w:tcPr>
          <w:p>
            <w:pPr>
              <w:rPr>
                <w:rFonts w:ascii="Times New Roman" w:hAnsi="Times New Roman" w:cs="Times New Roman"/>
                <w:b/>
                <w:bCs/>
                <w:sz w:val="22"/>
              </w:rPr>
            </w:pPr>
            <w:r>
              <w:rPr>
                <w:rFonts w:ascii="Times New Roman" w:hAnsi="Times New Roman" w:cs="Times New Roman"/>
                <w:b/>
                <w:bCs/>
                <w:sz w:val="22"/>
              </w:rPr>
              <w:t>Variables</w:t>
            </w:r>
          </w:p>
        </w:tc>
        <w:tc>
          <w:tcPr>
            <w:tcW w:w="1843" w:type="dxa"/>
            <w:tcBorders>
              <w:top w:val="single" w:sz="4" w:space="0" w:color="auto"/>
              <w:bottom w:val="single" w:sz="4" w:space="0" w:color="auto"/>
            </w:tcBorders>
          </w:tcPr>
          <w:p>
            <w:pPr>
              <w:rPr>
                <w:rFonts w:ascii="Times New Roman" w:hAnsi="Times New Roman" w:cs="Times New Roman"/>
                <w:b/>
                <w:bCs/>
                <w:sz w:val="22"/>
              </w:rPr>
            </w:pPr>
            <w:r>
              <w:rPr>
                <w:rFonts w:ascii="Times New Roman" w:hAnsi="Times New Roman" w:cs="Times New Roman"/>
                <w:b/>
                <w:bCs/>
                <w:sz w:val="22"/>
              </w:rPr>
              <w:t>Total participants</w:t>
            </w:r>
          </w:p>
          <w:p>
            <w:pPr>
              <w:rPr>
                <w:rFonts w:ascii="Times New Roman" w:hAnsi="Times New Roman" w:cs="Times New Roman"/>
                <w:b/>
                <w:bCs/>
                <w:sz w:val="22"/>
              </w:rPr>
            </w:pPr>
            <w:r>
              <w:rPr>
                <w:rFonts w:ascii="Times New Roman" w:hAnsi="Times New Roman" w:cs="Times New Roman"/>
                <w:b/>
                <w:bCs/>
                <w:sz w:val="22"/>
              </w:rPr>
              <w:t>(n = 188)</w:t>
            </w:r>
          </w:p>
        </w:tc>
        <w:tc>
          <w:tcPr>
            <w:tcW w:w="1276" w:type="dxa"/>
            <w:tcBorders>
              <w:top w:val="single" w:sz="4" w:space="0" w:color="auto"/>
              <w:bottom w:val="single" w:sz="4" w:space="0" w:color="auto"/>
            </w:tcBorders>
          </w:tcPr>
          <w:p>
            <w:pPr>
              <w:rPr>
                <w:rFonts w:ascii="Times New Roman" w:hAnsi="Times New Roman" w:cs="Times New Roman"/>
                <w:b/>
                <w:bCs/>
                <w:sz w:val="22"/>
              </w:rPr>
            </w:pPr>
            <w:r>
              <w:rPr>
                <w:rFonts w:ascii="Times New Roman" w:hAnsi="Times New Roman" w:cs="Times New Roman"/>
                <w:b/>
                <w:bCs/>
                <w:sz w:val="22"/>
              </w:rPr>
              <w:t>Compliant</w:t>
            </w:r>
          </w:p>
          <w:p>
            <w:pPr>
              <w:rPr>
                <w:rFonts w:ascii="Times New Roman" w:hAnsi="Times New Roman" w:cs="Times New Roman"/>
                <w:b/>
                <w:bCs/>
                <w:sz w:val="22"/>
              </w:rPr>
            </w:pPr>
            <w:r>
              <w:rPr>
                <w:rFonts w:ascii="Times New Roman" w:hAnsi="Times New Roman" w:cs="Times New Roman"/>
                <w:b/>
                <w:bCs/>
                <w:sz w:val="22"/>
              </w:rPr>
              <w:t>(n = 80)</w:t>
            </w:r>
          </w:p>
        </w:tc>
        <w:tc>
          <w:tcPr>
            <w:tcW w:w="1559" w:type="dxa"/>
            <w:tcBorders>
              <w:top w:val="single" w:sz="4" w:space="0" w:color="auto"/>
              <w:bottom w:val="single" w:sz="4" w:space="0" w:color="auto"/>
            </w:tcBorders>
          </w:tcPr>
          <w:p>
            <w:pPr>
              <w:rPr>
                <w:rFonts w:ascii="Times New Roman" w:hAnsi="Times New Roman" w:cs="Times New Roman"/>
                <w:b/>
                <w:bCs/>
                <w:sz w:val="22"/>
              </w:rPr>
            </w:pPr>
            <w:r>
              <w:rPr>
                <w:rFonts w:ascii="Times New Roman" w:hAnsi="Times New Roman" w:cs="Times New Roman"/>
                <w:b/>
                <w:bCs/>
                <w:sz w:val="22"/>
              </w:rPr>
              <w:t>Non-compliant (n = 108)</w:t>
            </w:r>
          </w:p>
        </w:tc>
        <w:tc>
          <w:tcPr>
            <w:tcW w:w="2126" w:type="dxa"/>
            <w:tcBorders>
              <w:top w:val="single" w:sz="4" w:space="0" w:color="auto"/>
              <w:bottom w:val="single" w:sz="4" w:space="0" w:color="auto"/>
            </w:tcBorders>
          </w:tcPr>
          <w:p>
            <w:pPr>
              <w:rPr>
                <w:rFonts w:ascii="Times New Roman" w:hAnsi="Times New Roman" w:cs="Times New Roman"/>
                <w:b/>
                <w:bCs/>
                <w:sz w:val="22"/>
              </w:rPr>
            </w:pPr>
            <w:r>
              <w:rPr>
                <w:rFonts w:ascii="Times New Roman" w:hAnsi="Times New Roman" w:cs="Times New Roman"/>
                <w:b/>
                <w:bCs/>
                <w:sz w:val="22"/>
              </w:rPr>
              <w:t>Statistics</w:t>
            </w:r>
            <w:r>
              <w:rPr>
                <w:rFonts w:ascii="Times New Roman" w:hAnsi="Times New Roman" w:cs="Times New Roman"/>
                <w:sz w:val="28"/>
                <w:vertAlign w:val="superscript"/>
              </w:rPr>
              <w:t>a</w:t>
            </w:r>
          </w:p>
        </w:tc>
      </w:tr>
      <w:tr>
        <w:tc>
          <w:tcPr>
            <w:tcW w:w="2777" w:type="dxa"/>
            <w:tcBorders>
              <w:top w:val="single" w:sz="4" w:space="0" w:color="auto"/>
            </w:tcBorders>
            <w:vAlign w:val="center"/>
          </w:tcPr>
          <w:p>
            <w:pPr>
              <w:rPr>
                <w:rFonts w:ascii="Times New Roman" w:hAnsi="Times New Roman" w:cs="Times New Roman"/>
                <w:sz w:val="22"/>
              </w:rPr>
            </w:pPr>
            <w:r>
              <w:rPr>
                <w:rFonts w:ascii="Times New Roman" w:hAnsi="Times New Roman" w:cs="Times New Roman"/>
                <w:sz w:val="22"/>
              </w:rPr>
              <w:t>Age, years</w:t>
            </w:r>
          </w:p>
        </w:tc>
        <w:tc>
          <w:tcPr>
            <w:tcW w:w="1843" w:type="dxa"/>
            <w:tcBorders>
              <w:top w:val="single" w:sz="4" w:space="0" w:color="auto"/>
            </w:tcBorders>
            <w:vAlign w:val="center"/>
          </w:tcPr>
          <w:p>
            <w:pPr>
              <w:rPr>
                <w:rFonts w:ascii="Times New Roman" w:hAnsi="Times New Roman" w:cs="Times New Roman"/>
                <w:sz w:val="22"/>
              </w:rPr>
            </w:pPr>
            <w:r>
              <w:rPr>
                <w:rFonts w:ascii="Times New Roman" w:hAnsi="Times New Roman" w:cs="Times New Roman"/>
                <w:sz w:val="22"/>
              </w:rPr>
              <w:t>47.4 ± 11.2</w:t>
            </w:r>
          </w:p>
        </w:tc>
        <w:tc>
          <w:tcPr>
            <w:tcW w:w="1276" w:type="dxa"/>
            <w:tcBorders>
              <w:top w:val="single" w:sz="4" w:space="0" w:color="auto"/>
            </w:tcBorders>
            <w:vAlign w:val="center"/>
          </w:tcPr>
          <w:p>
            <w:pPr>
              <w:rPr>
                <w:rFonts w:ascii="Times New Roman" w:hAnsi="Times New Roman" w:cs="Times New Roman"/>
                <w:sz w:val="22"/>
              </w:rPr>
            </w:pPr>
            <w:r>
              <w:rPr>
                <w:rFonts w:ascii="Times New Roman" w:hAnsi="Times New Roman" w:cs="Times New Roman"/>
                <w:sz w:val="22"/>
              </w:rPr>
              <w:t>49.4 ± 10.9</w:t>
            </w:r>
          </w:p>
        </w:tc>
        <w:tc>
          <w:tcPr>
            <w:tcW w:w="1559" w:type="dxa"/>
            <w:tcBorders>
              <w:top w:val="single" w:sz="4" w:space="0" w:color="auto"/>
            </w:tcBorders>
            <w:vAlign w:val="center"/>
          </w:tcPr>
          <w:p>
            <w:pPr>
              <w:rPr>
                <w:rFonts w:ascii="Times New Roman" w:hAnsi="Times New Roman" w:cs="Times New Roman"/>
                <w:sz w:val="22"/>
              </w:rPr>
            </w:pPr>
            <w:r>
              <w:rPr>
                <w:rFonts w:ascii="Times New Roman" w:hAnsi="Times New Roman" w:cs="Times New Roman"/>
                <w:sz w:val="22"/>
              </w:rPr>
              <w:t>46.0 ± 11.2</w:t>
            </w:r>
          </w:p>
        </w:tc>
        <w:tc>
          <w:tcPr>
            <w:tcW w:w="2126" w:type="dxa"/>
            <w:tcBorders>
              <w:top w:val="single" w:sz="4" w:space="0" w:color="auto"/>
            </w:tcBorders>
            <w:vAlign w:val="center"/>
          </w:tcPr>
          <w:p>
            <w:pPr>
              <w:rPr>
                <w:rFonts w:ascii="Times New Roman" w:hAnsi="Times New Roman" w:cs="Times New Roman"/>
                <w:sz w:val="22"/>
              </w:rPr>
            </w:pPr>
            <w:r>
              <w:rPr>
                <w:rFonts w:ascii="Times New Roman" w:hAnsi="Times New Roman" w:cs="Times New Roman"/>
                <w:i/>
                <w:iCs/>
                <w:sz w:val="22"/>
              </w:rPr>
              <w:t xml:space="preserve">t </w:t>
            </w:r>
            <w:r>
              <w:rPr>
                <w:rFonts w:ascii="Times New Roman" w:hAnsi="Times New Roman" w:cs="Times New Roman"/>
                <w:sz w:val="22"/>
              </w:rPr>
              <w:t xml:space="preserve">= </w:t>
            </w:r>
            <w:r>
              <w:rPr>
                <w:rFonts w:ascii="Times New Roman" w:hAnsi="Times New Roman" w:cs="Times New Roman"/>
                <w:color w:val="000000"/>
                <w:sz w:val="22"/>
              </w:rPr>
              <w:t>–</w:t>
            </w:r>
            <w:r>
              <w:rPr>
                <w:rFonts w:ascii="Times New Roman" w:hAnsi="Times New Roman" w:cs="Times New Roman"/>
                <w:sz w:val="22"/>
              </w:rPr>
              <w:t xml:space="preserve">2.10, </w:t>
            </w:r>
            <w:r>
              <w:rPr>
                <w:rFonts w:ascii="Times New Roman" w:hAnsi="Times New Roman" w:cs="Times New Roman"/>
                <w:b/>
                <w:bCs/>
                <w:i/>
                <w:iCs/>
                <w:sz w:val="22"/>
              </w:rPr>
              <w:t>P</w:t>
            </w:r>
            <w:r>
              <w:rPr>
                <w:rFonts w:ascii="Times New Roman" w:hAnsi="Times New Roman" w:cs="Times New Roman"/>
                <w:b/>
                <w:bCs/>
                <w:i/>
                <w:iCs/>
                <w:sz w:val="22"/>
              </w:rPr>
              <w:t xml:space="preserve"> </w:t>
            </w:r>
            <w:r>
              <w:rPr>
                <w:rFonts w:ascii="Times New Roman" w:hAnsi="Times New Roman" w:cs="Times New Roman"/>
                <w:b/>
                <w:bCs/>
                <w:sz w:val="22"/>
              </w:rPr>
              <w:t>= 0.038</w:t>
            </w:r>
            <w:r>
              <w:rPr>
                <w:rFonts w:ascii="Times New Roman" w:hAnsi="Times New Roman" w:cs="Times New Roman"/>
                <w:sz w:val="22"/>
              </w:rPr>
              <w:t>*</w:t>
            </w:r>
          </w:p>
        </w:tc>
      </w:tr>
      <w:tr>
        <w:tc>
          <w:tcPr>
            <w:tcW w:w="2777" w:type="dxa"/>
            <w:vAlign w:val="center"/>
          </w:tcPr>
          <w:p>
            <w:pPr>
              <w:rPr>
                <w:rFonts w:ascii="Times New Roman" w:hAnsi="Times New Roman" w:cs="Times New Roman"/>
                <w:sz w:val="22"/>
              </w:rPr>
            </w:pPr>
            <w:r>
              <w:rPr>
                <w:rFonts w:ascii="Times New Roman" w:hAnsi="Times New Roman" w:cs="Times New Roman"/>
                <w:sz w:val="22"/>
              </w:rPr>
              <w:t>Sex, male</w:t>
            </w:r>
          </w:p>
        </w:tc>
        <w:tc>
          <w:tcPr>
            <w:tcW w:w="1843" w:type="dxa"/>
            <w:vAlign w:val="center"/>
          </w:tcPr>
          <w:p>
            <w:pPr>
              <w:rPr>
                <w:rFonts w:ascii="Times New Roman" w:hAnsi="Times New Roman" w:cs="Times New Roman"/>
                <w:sz w:val="22"/>
              </w:rPr>
            </w:pPr>
            <w:r>
              <w:rPr>
                <w:rFonts w:ascii="Times New Roman" w:hAnsi="Times New Roman" w:cs="Times New Roman"/>
                <w:sz w:val="22"/>
              </w:rPr>
              <w:t>172 (91.5%)</w:t>
            </w:r>
          </w:p>
        </w:tc>
        <w:tc>
          <w:tcPr>
            <w:tcW w:w="1276" w:type="dxa"/>
            <w:vAlign w:val="center"/>
          </w:tcPr>
          <w:p>
            <w:pPr>
              <w:rPr>
                <w:rFonts w:ascii="Times New Roman" w:hAnsi="Times New Roman" w:cs="Times New Roman"/>
                <w:sz w:val="22"/>
              </w:rPr>
            </w:pPr>
            <w:r>
              <w:rPr>
                <w:rFonts w:ascii="Times New Roman" w:hAnsi="Times New Roman" w:cs="Times New Roman"/>
                <w:sz w:val="22"/>
              </w:rPr>
              <w:t>74 (92.5%)</w:t>
            </w:r>
          </w:p>
        </w:tc>
        <w:tc>
          <w:tcPr>
            <w:tcW w:w="1559" w:type="dxa"/>
            <w:vAlign w:val="center"/>
          </w:tcPr>
          <w:p>
            <w:pPr>
              <w:rPr>
                <w:rFonts w:ascii="Times New Roman" w:hAnsi="Times New Roman" w:cs="Times New Roman"/>
                <w:sz w:val="22"/>
              </w:rPr>
            </w:pPr>
            <w:r>
              <w:rPr>
                <w:rFonts w:ascii="Times New Roman" w:hAnsi="Times New Roman" w:cs="Times New Roman"/>
                <w:sz w:val="22"/>
              </w:rPr>
              <w:t>98 (90.7%)</w:t>
            </w:r>
          </w:p>
        </w:tc>
        <w:tc>
          <w:tcPr>
            <w:tcW w:w="2126" w:type="dxa"/>
            <w:vAlign w:val="center"/>
          </w:tcPr>
          <w:p>
            <w:pPr>
              <w:rPr>
                <w:rFonts w:ascii="Times New Roman" w:hAnsi="Times New Roman" w:cs="Times New Roman"/>
                <w:sz w:val="22"/>
              </w:rPr>
            </w:pPr>
            <w:r>
              <w:rPr>
                <w:rFonts w:ascii="Times New Roman" w:hAnsi="Times New Roman" w:cs="Times New Roman"/>
                <w:i/>
                <w:iCs/>
                <w:sz w:val="22"/>
              </w:rPr>
              <w:t>χ</w:t>
            </w:r>
            <w:r>
              <w:rPr>
                <w:rFonts w:ascii="Times New Roman" w:hAnsi="Times New Roman" w:cs="Times New Roman"/>
                <w:sz w:val="22"/>
                <w:vertAlign w:val="superscript"/>
              </w:rPr>
              <w:t>2</w:t>
            </w:r>
            <w:r>
              <w:rPr>
                <w:rFonts w:ascii="Times New Roman" w:hAnsi="Times New Roman" w:cs="Times New Roman"/>
                <w:sz w:val="22"/>
              </w:rPr>
              <w:t xml:space="preserve"> = 0.18, </w:t>
            </w:r>
            <w:r>
              <w:rPr>
                <w:rFonts w:ascii="Times New Roman" w:hAnsi="Times New Roman" w:cs="Times New Roman"/>
                <w:i/>
                <w:iCs/>
                <w:sz w:val="22"/>
              </w:rPr>
              <w:t xml:space="preserve">P </w:t>
            </w:r>
            <w:r>
              <w:rPr>
                <w:rFonts w:ascii="Times New Roman" w:hAnsi="Times New Roman" w:cs="Times New Roman"/>
                <w:sz w:val="22"/>
              </w:rPr>
              <w:t>= 0.669</w:t>
            </w:r>
          </w:p>
        </w:tc>
      </w:tr>
      <w:tr>
        <w:tc>
          <w:tcPr>
            <w:tcW w:w="2777" w:type="dxa"/>
            <w:vAlign w:val="center"/>
          </w:tcPr>
          <w:p>
            <w:pPr>
              <w:rPr>
                <w:rFonts w:ascii="Times New Roman" w:hAnsi="Times New Roman" w:cs="Times New Roman"/>
                <w:sz w:val="22"/>
              </w:rPr>
            </w:pPr>
            <w:r>
              <w:rPr>
                <w:rFonts w:ascii="Times New Roman" w:hAnsi="Times New Roman" w:cs="Times New Roman"/>
                <w:sz w:val="22"/>
              </w:rPr>
              <w:t>Married</w:t>
            </w:r>
            <w:r>
              <w:rPr>
                <w:rFonts w:ascii="Times New Roman" w:hAnsi="Times New Roman" w:cs="Times New Roman"/>
                <w:sz w:val="28"/>
                <w:vertAlign w:val="superscript"/>
              </w:rPr>
              <w:t>b</w:t>
            </w:r>
            <w:r>
              <w:rPr>
                <w:rFonts w:ascii="Times New Roman" w:hAnsi="Times New Roman" w:cs="Times New Roman"/>
                <w:sz w:val="22"/>
                <w:vertAlign w:val="superscript"/>
              </w:rPr>
              <w:t xml:space="preserve"> </w:t>
            </w:r>
            <w:r>
              <w:rPr>
                <w:rFonts w:ascii="Times New Roman" w:hAnsi="Times New Roman" w:cs="Times New Roman"/>
                <w:sz w:val="22"/>
              </w:rPr>
              <w:t>(</w:t>
            </w:r>
            <w:r>
              <w:rPr>
                <w:rFonts w:ascii="Times New Roman" w:hAnsi="Times New Roman" w:cs="Times New Roman"/>
                <w:iCs/>
                <w:sz w:val="22"/>
              </w:rPr>
              <w:t xml:space="preserve">n </w:t>
            </w:r>
            <w:r>
              <w:rPr>
                <w:rFonts w:ascii="Times New Roman" w:hAnsi="Times New Roman" w:cs="Times New Roman"/>
                <w:sz w:val="22"/>
              </w:rPr>
              <w:t>= 174)</w:t>
            </w:r>
          </w:p>
        </w:tc>
        <w:tc>
          <w:tcPr>
            <w:tcW w:w="1843" w:type="dxa"/>
            <w:vAlign w:val="center"/>
          </w:tcPr>
          <w:p>
            <w:pPr>
              <w:rPr>
                <w:rFonts w:ascii="Times New Roman" w:hAnsi="Times New Roman" w:cs="Times New Roman"/>
                <w:sz w:val="22"/>
              </w:rPr>
            </w:pPr>
            <w:r>
              <w:rPr>
                <w:rFonts w:ascii="Times New Roman" w:hAnsi="Times New Roman" w:cs="Times New Roman"/>
                <w:sz w:val="22"/>
              </w:rPr>
              <w:t>134 (77.0%)</w:t>
            </w:r>
          </w:p>
        </w:tc>
        <w:tc>
          <w:tcPr>
            <w:tcW w:w="1276" w:type="dxa"/>
            <w:vAlign w:val="center"/>
          </w:tcPr>
          <w:p>
            <w:pPr>
              <w:rPr>
                <w:rFonts w:ascii="Times New Roman" w:hAnsi="Times New Roman" w:cs="Times New Roman"/>
                <w:sz w:val="22"/>
              </w:rPr>
            </w:pPr>
            <w:r>
              <w:rPr>
                <w:rFonts w:ascii="Times New Roman" w:hAnsi="Times New Roman" w:cs="Times New Roman"/>
                <w:sz w:val="22"/>
              </w:rPr>
              <w:t>57 (76.0%)</w:t>
            </w:r>
          </w:p>
        </w:tc>
        <w:tc>
          <w:tcPr>
            <w:tcW w:w="1559" w:type="dxa"/>
            <w:vAlign w:val="center"/>
          </w:tcPr>
          <w:p>
            <w:pPr>
              <w:rPr>
                <w:rFonts w:ascii="Times New Roman" w:hAnsi="Times New Roman" w:cs="Times New Roman"/>
                <w:sz w:val="22"/>
              </w:rPr>
            </w:pPr>
            <w:r>
              <w:rPr>
                <w:rFonts w:ascii="Times New Roman" w:hAnsi="Times New Roman" w:cs="Times New Roman"/>
                <w:sz w:val="22"/>
              </w:rPr>
              <w:t>77 (77.8%)</w:t>
            </w:r>
          </w:p>
        </w:tc>
        <w:tc>
          <w:tcPr>
            <w:tcW w:w="2126" w:type="dxa"/>
            <w:vAlign w:val="center"/>
          </w:tcPr>
          <w:p>
            <w:pPr>
              <w:rPr>
                <w:rFonts w:ascii="Times New Roman" w:hAnsi="Times New Roman" w:cs="Times New Roman"/>
                <w:sz w:val="22"/>
              </w:rPr>
            </w:pPr>
            <w:r>
              <w:rPr>
                <w:rFonts w:ascii="Times New Roman" w:hAnsi="Times New Roman" w:cs="Times New Roman"/>
                <w:i/>
                <w:iCs/>
                <w:sz w:val="22"/>
              </w:rPr>
              <w:t>χ</w:t>
            </w:r>
            <w:r>
              <w:rPr>
                <w:rFonts w:ascii="Times New Roman" w:hAnsi="Times New Roman" w:cs="Times New Roman"/>
                <w:sz w:val="22"/>
                <w:vertAlign w:val="superscript"/>
              </w:rPr>
              <w:t>2</w:t>
            </w:r>
            <w:r>
              <w:rPr>
                <w:rFonts w:ascii="Times New Roman" w:hAnsi="Times New Roman" w:cs="Times New Roman"/>
                <w:sz w:val="22"/>
              </w:rPr>
              <w:t xml:space="preserve"> = 2.67, </w:t>
            </w:r>
            <w:r>
              <w:rPr>
                <w:rFonts w:ascii="Times New Roman" w:hAnsi="Times New Roman" w:cs="Times New Roman"/>
                <w:i/>
                <w:iCs/>
                <w:sz w:val="22"/>
              </w:rPr>
              <w:t xml:space="preserve">P </w:t>
            </w:r>
            <w:r>
              <w:rPr>
                <w:rFonts w:ascii="Times New Roman" w:hAnsi="Times New Roman" w:cs="Times New Roman"/>
                <w:sz w:val="22"/>
              </w:rPr>
              <w:t>= 0.445</w:t>
            </w:r>
          </w:p>
        </w:tc>
      </w:tr>
      <w:tr>
        <w:tc>
          <w:tcPr>
            <w:tcW w:w="2777" w:type="dxa"/>
            <w:vAlign w:val="center"/>
          </w:tcPr>
          <w:p>
            <w:pPr>
              <w:rPr>
                <w:rFonts w:ascii="Times New Roman" w:hAnsi="Times New Roman" w:cs="Times New Roman"/>
                <w:sz w:val="22"/>
              </w:rPr>
            </w:pPr>
            <w:r>
              <w:rPr>
                <w:rFonts w:ascii="Times New Roman" w:hAnsi="Times New Roman" w:cs="Times New Roman"/>
                <w:sz w:val="22"/>
              </w:rPr>
              <w:t>Education, years</w:t>
            </w:r>
          </w:p>
        </w:tc>
        <w:tc>
          <w:tcPr>
            <w:tcW w:w="1843" w:type="dxa"/>
            <w:vAlign w:val="center"/>
          </w:tcPr>
          <w:p>
            <w:pPr>
              <w:rPr>
                <w:rFonts w:ascii="Times New Roman" w:hAnsi="Times New Roman" w:cs="Times New Roman"/>
                <w:sz w:val="22"/>
              </w:rPr>
            </w:pPr>
            <w:r>
              <w:rPr>
                <w:rFonts w:ascii="Times New Roman" w:hAnsi="Times New Roman" w:cs="Times New Roman"/>
                <w:sz w:val="22"/>
              </w:rPr>
              <w:t>14.1 ± 2.4</w:t>
            </w:r>
          </w:p>
        </w:tc>
        <w:tc>
          <w:tcPr>
            <w:tcW w:w="1276" w:type="dxa"/>
            <w:vAlign w:val="center"/>
          </w:tcPr>
          <w:p>
            <w:pPr>
              <w:rPr>
                <w:rFonts w:ascii="Times New Roman" w:hAnsi="Times New Roman" w:cs="Times New Roman"/>
                <w:sz w:val="22"/>
              </w:rPr>
            </w:pPr>
            <w:r>
              <w:rPr>
                <w:rFonts w:ascii="Times New Roman" w:hAnsi="Times New Roman" w:cs="Times New Roman"/>
                <w:sz w:val="22"/>
              </w:rPr>
              <w:t>14.0 ± 2.5</w:t>
            </w:r>
          </w:p>
        </w:tc>
        <w:tc>
          <w:tcPr>
            <w:tcW w:w="1559" w:type="dxa"/>
            <w:vAlign w:val="center"/>
          </w:tcPr>
          <w:p>
            <w:pPr>
              <w:rPr>
                <w:rFonts w:ascii="Times New Roman" w:hAnsi="Times New Roman" w:cs="Times New Roman"/>
                <w:sz w:val="22"/>
              </w:rPr>
            </w:pPr>
            <w:r>
              <w:rPr>
                <w:rFonts w:ascii="Times New Roman" w:hAnsi="Times New Roman" w:cs="Times New Roman"/>
                <w:sz w:val="22"/>
              </w:rPr>
              <w:t>14.2 ± 2.3</w:t>
            </w:r>
          </w:p>
        </w:tc>
        <w:tc>
          <w:tcPr>
            <w:tcW w:w="2126" w:type="dxa"/>
            <w:vAlign w:val="center"/>
          </w:tcPr>
          <w:p>
            <w:pPr>
              <w:rPr>
                <w:rFonts w:ascii="Times New Roman" w:hAnsi="Times New Roman" w:cs="Times New Roman"/>
                <w:sz w:val="22"/>
              </w:rPr>
            </w:pPr>
            <w:r>
              <w:rPr>
                <w:rFonts w:ascii="Times New Roman" w:hAnsi="Times New Roman" w:cs="Times New Roman"/>
                <w:i/>
                <w:iCs/>
                <w:sz w:val="22"/>
              </w:rPr>
              <w:t xml:space="preserve">t </w:t>
            </w:r>
            <w:r>
              <w:rPr>
                <w:rFonts w:ascii="Times New Roman" w:hAnsi="Times New Roman" w:cs="Times New Roman"/>
                <w:sz w:val="22"/>
              </w:rPr>
              <w:t xml:space="preserve">= 0.77, </w:t>
            </w:r>
            <w:r>
              <w:rPr>
                <w:rFonts w:ascii="Times New Roman" w:hAnsi="Times New Roman" w:cs="Times New Roman"/>
                <w:i/>
                <w:iCs/>
                <w:sz w:val="22"/>
              </w:rPr>
              <w:t>P</w:t>
            </w:r>
            <w:r>
              <w:rPr>
                <w:rFonts w:ascii="Times New Roman" w:hAnsi="Times New Roman" w:cs="Times New Roman"/>
                <w:i/>
                <w:sz w:val="22"/>
              </w:rPr>
              <w:t xml:space="preserve"> </w:t>
            </w:r>
            <w:r>
              <w:rPr>
                <w:rFonts w:ascii="Times New Roman" w:hAnsi="Times New Roman" w:cs="Times New Roman"/>
                <w:sz w:val="22"/>
              </w:rPr>
              <w:t>= 0.445</w:t>
            </w:r>
          </w:p>
        </w:tc>
      </w:tr>
      <w:tr>
        <w:tc>
          <w:tcPr>
            <w:tcW w:w="2777" w:type="dxa"/>
            <w:vAlign w:val="center"/>
          </w:tcPr>
          <w:p>
            <w:pPr>
              <w:rPr>
                <w:rFonts w:ascii="Times New Roman" w:hAnsi="Times New Roman" w:cs="Times New Roman"/>
                <w:sz w:val="22"/>
              </w:rPr>
            </w:pPr>
            <w:r>
              <w:rPr>
                <w:rFonts w:ascii="Times New Roman" w:hAnsi="Times New Roman" w:cs="Times New Roman"/>
                <w:sz w:val="22"/>
              </w:rPr>
              <w:t>Job</w:t>
            </w:r>
            <w:r>
              <w:rPr>
                <w:rFonts w:ascii="Times New Roman" w:hAnsi="Times New Roman" w:cs="Times New Roman"/>
                <w:sz w:val="28"/>
                <w:vertAlign w:val="superscript"/>
              </w:rPr>
              <w:t>c</w:t>
            </w:r>
            <w:r>
              <w:rPr>
                <w:rFonts w:ascii="Times New Roman" w:hAnsi="Times New Roman" w:cs="Times New Roman"/>
                <w:sz w:val="22"/>
                <w:vertAlign w:val="superscript"/>
              </w:rPr>
              <w:t xml:space="preserve"> </w:t>
            </w:r>
            <w:r>
              <w:rPr>
                <w:rFonts w:ascii="Times New Roman" w:hAnsi="Times New Roman" w:cs="Times New Roman"/>
                <w:sz w:val="22"/>
              </w:rPr>
              <w:t>(</w:t>
            </w:r>
            <w:r>
              <w:rPr>
                <w:rFonts w:ascii="Times New Roman" w:hAnsi="Times New Roman" w:cs="Times New Roman"/>
                <w:iCs/>
                <w:sz w:val="22"/>
              </w:rPr>
              <w:t xml:space="preserve">n </w:t>
            </w:r>
            <w:r>
              <w:rPr>
                <w:rFonts w:ascii="Times New Roman" w:hAnsi="Times New Roman" w:cs="Times New Roman"/>
                <w:sz w:val="22"/>
              </w:rPr>
              <w:t>= 174)</w:t>
            </w:r>
          </w:p>
        </w:tc>
        <w:tc>
          <w:tcPr>
            <w:tcW w:w="1843" w:type="dxa"/>
            <w:vAlign w:val="center"/>
          </w:tcPr>
          <w:p>
            <w:pPr>
              <w:rPr>
                <w:rFonts w:ascii="Times New Roman" w:hAnsi="Times New Roman" w:cs="Times New Roman"/>
                <w:sz w:val="22"/>
              </w:rPr>
            </w:pPr>
            <w:r>
              <w:rPr>
                <w:rFonts w:ascii="Times New Roman" w:hAnsi="Times New Roman" w:cs="Times New Roman"/>
                <w:sz w:val="22"/>
              </w:rPr>
              <w:t>146 (83.9%)</w:t>
            </w:r>
          </w:p>
        </w:tc>
        <w:tc>
          <w:tcPr>
            <w:tcW w:w="1276" w:type="dxa"/>
            <w:vAlign w:val="center"/>
          </w:tcPr>
          <w:p>
            <w:pPr>
              <w:rPr>
                <w:rFonts w:ascii="Times New Roman" w:hAnsi="Times New Roman" w:cs="Times New Roman"/>
                <w:sz w:val="22"/>
              </w:rPr>
            </w:pPr>
            <w:r>
              <w:rPr>
                <w:rFonts w:ascii="Times New Roman" w:hAnsi="Times New Roman" w:cs="Times New Roman"/>
                <w:sz w:val="22"/>
              </w:rPr>
              <w:t>60 (80.0%)</w:t>
            </w:r>
          </w:p>
        </w:tc>
        <w:tc>
          <w:tcPr>
            <w:tcW w:w="1559" w:type="dxa"/>
            <w:vAlign w:val="center"/>
          </w:tcPr>
          <w:p>
            <w:pPr>
              <w:rPr>
                <w:rFonts w:ascii="Times New Roman" w:hAnsi="Times New Roman" w:cs="Times New Roman"/>
                <w:sz w:val="22"/>
              </w:rPr>
            </w:pPr>
            <w:r>
              <w:rPr>
                <w:rFonts w:ascii="Times New Roman" w:hAnsi="Times New Roman" w:cs="Times New Roman"/>
                <w:sz w:val="22"/>
              </w:rPr>
              <w:t>86 (86.9%)</w:t>
            </w:r>
          </w:p>
        </w:tc>
        <w:tc>
          <w:tcPr>
            <w:tcW w:w="2126" w:type="dxa"/>
            <w:vAlign w:val="center"/>
          </w:tcPr>
          <w:p>
            <w:pPr>
              <w:rPr>
                <w:rFonts w:ascii="Times New Roman" w:hAnsi="Times New Roman" w:cs="Times New Roman"/>
                <w:sz w:val="22"/>
              </w:rPr>
            </w:pPr>
            <w:r>
              <w:rPr>
                <w:rFonts w:ascii="Times New Roman" w:hAnsi="Times New Roman" w:cs="Times New Roman"/>
                <w:i/>
                <w:iCs/>
                <w:sz w:val="22"/>
              </w:rPr>
              <w:t>χ</w:t>
            </w:r>
            <w:r>
              <w:rPr>
                <w:rFonts w:ascii="Times New Roman" w:hAnsi="Times New Roman" w:cs="Times New Roman"/>
                <w:sz w:val="22"/>
                <w:vertAlign w:val="superscript"/>
              </w:rPr>
              <w:t>2</w:t>
            </w:r>
            <w:r>
              <w:rPr>
                <w:rFonts w:ascii="Times New Roman" w:hAnsi="Times New Roman" w:cs="Times New Roman"/>
                <w:sz w:val="22"/>
              </w:rPr>
              <w:t xml:space="preserve"> = 1.49, </w:t>
            </w:r>
            <w:r>
              <w:rPr>
                <w:rFonts w:ascii="Times New Roman" w:hAnsi="Times New Roman" w:cs="Times New Roman"/>
                <w:i/>
                <w:iCs/>
                <w:sz w:val="22"/>
              </w:rPr>
              <w:t xml:space="preserve">P </w:t>
            </w:r>
            <w:r>
              <w:rPr>
                <w:rFonts w:ascii="Times New Roman" w:hAnsi="Times New Roman" w:cs="Times New Roman"/>
                <w:sz w:val="22"/>
              </w:rPr>
              <w:t>= 0.222</w:t>
            </w:r>
          </w:p>
        </w:tc>
      </w:tr>
      <w:tr>
        <w:tc>
          <w:tcPr>
            <w:tcW w:w="2777" w:type="dxa"/>
            <w:vAlign w:val="center"/>
          </w:tcPr>
          <w:p>
            <w:pPr>
              <w:rPr>
                <w:rFonts w:ascii="Times New Roman" w:hAnsi="Times New Roman" w:cs="Times New Roman"/>
                <w:sz w:val="22"/>
              </w:rPr>
            </w:pPr>
            <w:r>
              <w:rPr>
                <w:rFonts w:ascii="Times New Roman" w:hAnsi="Times New Roman" w:cs="Times New Roman"/>
                <w:sz w:val="22"/>
              </w:rPr>
              <w:t>Hypertension (</w:t>
            </w:r>
            <w:r>
              <w:rPr>
                <w:rFonts w:ascii="Times New Roman" w:hAnsi="Times New Roman" w:cs="Times New Roman"/>
                <w:iCs/>
                <w:sz w:val="22"/>
              </w:rPr>
              <w:t xml:space="preserve">n </w:t>
            </w:r>
            <w:r>
              <w:rPr>
                <w:rFonts w:ascii="Times New Roman" w:hAnsi="Times New Roman" w:cs="Times New Roman"/>
                <w:sz w:val="22"/>
              </w:rPr>
              <w:t>= 174)</w:t>
            </w:r>
          </w:p>
        </w:tc>
        <w:tc>
          <w:tcPr>
            <w:tcW w:w="1843" w:type="dxa"/>
            <w:vAlign w:val="center"/>
          </w:tcPr>
          <w:p>
            <w:pPr>
              <w:rPr>
                <w:rFonts w:ascii="Times New Roman" w:hAnsi="Times New Roman" w:cs="Times New Roman"/>
                <w:sz w:val="22"/>
              </w:rPr>
            </w:pPr>
            <w:r>
              <w:rPr>
                <w:rFonts w:ascii="Times New Roman" w:hAnsi="Times New Roman" w:cs="Times New Roman"/>
                <w:sz w:val="22"/>
              </w:rPr>
              <w:t>67 (35.6%)</w:t>
            </w:r>
          </w:p>
        </w:tc>
        <w:tc>
          <w:tcPr>
            <w:tcW w:w="1276" w:type="dxa"/>
            <w:vAlign w:val="center"/>
          </w:tcPr>
          <w:p>
            <w:pPr>
              <w:rPr>
                <w:rFonts w:ascii="Times New Roman" w:hAnsi="Times New Roman" w:cs="Times New Roman"/>
                <w:sz w:val="22"/>
              </w:rPr>
            </w:pPr>
            <w:r>
              <w:rPr>
                <w:rFonts w:ascii="Times New Roman" w:hAnsi="Times New Roman" w:cs="Times New Roman"/>
                <w:sz w:val="22"/>
              </w:rPr>
              <w:t>36 (48.0%)</w:t>
            </w:r>
          </w:p>
        </w:tc>
        <w:tc>
          <w:tcPr>
            <w:tcW w:w="1559" w:type="dxa"/>
            <w:vAlign w:val="center"/>
          </w:tcPr>
          <w:p>
            <w:pPr>
              <w:rPr>
                <w:rFonts w:ascii="Times New Roman" w:hAnsi="Times New Roman" w:cs="Times New Roman"/>
                <w:sz w:val="22"/>
              </w:rPr>
            </w:pPr>
            <w:r>
              <w:rPr>
                <w:rFonts w:ascii="Times New Roman" w:hAnsi="Times New Roman" w:cs="Times New Roman"/>
                <w:sz w:val="22"/>
              </w:rPr>
              <w:t>31 (31.3%)</w:t>
            </w:r>
          </w:p>
        </w:tc>
        <w:tc>
          <w:tcPr>
            <w:tcW w:w="2126" w:type="dxa"/>
            <w:vAlign w:val="center"/>
          </w:tcPr>
          <w:p>
            <w:pPr>
              <w:rPr>
                <w:rFonts w:ascii="Times New Roman" w:hAnsi="Times New Roman" w:cs="Times New Roman"/>
                <w:sz w:val="22"/>
              </w:rPr>
            </w:pPr>
            <w:r>
              <w:rPr>
                <w:rFonts w:ascii="Times New Roman" w:hAnsi="Times New Roman" w:cs="Times New Roman"/>
                <w:i/>
                <w:iCs/>
                <w:sz w:val="22"/>
              </w:rPr>
              <w:t>χ</w:t>
            </w:r>
            <w:r>
              <w:rPr>
                <w:rFonts w:ascii="Times New Roman" w:hAnsi="Times New Roman" w:cs="Times New Roman"/>
                <w:sz w:val="22"/>
                <w:vertAlign w:val="superscript"/>
              </w:rPr>
              <w:t>2</w:t>
            </w:r>
            <w:r>
              <w:rPr>
                <w:rFonts w:ascii="Times New Roman" w:hAnsi="Times New Roman" w:cs="Times New Roman"/>
                <w:sz w:val="22"/>
              </w:rPr>
              <w:t xml:space="preserve"> = 5.02, </w:t>
            </w:r>
            <w:r>
              <w:rPr>
                <w:rFonts w:ascii="Times New Roman" w:hAnsi="Times New Roman" w:cs="Times New Roman"/>
                <w:b/>
                <w:bCs/>
                <w:i/>
                <w:iCs/>
                <w:sz w:val="22"/>
              </w:rPr>
              <w:t>P</w:t>
            </w:r>
            <w:r>
              <w:rPr>
                <w:rFonts w:ascii="Times New Roman" w:hAnsi="Times New Roman" w:cs="Times New Roman"/>
                <w:b/>
                <w:bCs/>
                <w:i/>
                <w:iCs/>
                <w:sz w:val="22"/>
              </w:rPr>
              <w:t xml:space="preserve"> </w:t>
            </w:r>
            <w:r>
              <w:rPr>
                <w:rFonts w:ascii="Times New Roman" w:hAnsi="Times New Roman" w:cs="Times New Roman"/>
                <w:b/>
                <w:bCs/>
                <w:sz w:val="22"/>
              </w:rPr>
              <w:t>= 0.025</w:t>
            </w:r>
            <w:r>
              <w:rPr>
                <w:rFonts w:ascii="Times New Roman" w:hAnsi="Times New Roman" w:cs="Times New Roman"/>
                <w:sz w:val="22"/>
              </w:rPr>
              <w:t>*</w:t>
            </w:r>
          </w:p>
        </w:tc>
      </w:tr>
      <w:tr>
        <w:tc>
          <w:tcPr>
            <w:tcW w:w="2777" w:type="dxa"/>
            <w:vAlign w:val="center"/>
          </w:tcPr>
          <w:p>
            <w:pPr>
              <w:rPr>
                <w:rFonts w:ascii="Times New Roman" w:hAnsi="Times New Roman" w:cs="Times New Roman"/>
                <w:sz w:val="22"/>
              </w:rPr>
            </w:pPr>
            <w:r>
              <w:rPr>
                <w:rFonts w:ascii="Times New Roman" w:hAnsi="Times New Roman" w:cs="Times New Roman"/>
                <w:sz w:val="22"/>
              </w:rPr>
              <w:t>Body mass index</w:t>
            </w:r>
          </w:p>
        </w:tc>
        <w:tc>
          <w:tcPr>
            <w:tcW w:w="1843" w:type="dxa"/>
            <w:vAlign w:val="center"/>
          </w:tcPr>
          <w:p>
            <w:pPr>
              <w:rPr>
                <w:rFonts w:ascii="Times New Roman" w:hAnsi="Times New Roman" w:cs="Times New Roman"/>
                <w:sz w:val="22"/>
              </w:rPr>
            </w:pPr>
            <w:r>
              <w:rPr>
                <w:rFonts w:ascii="Times New Roman" w:hAnsi="Times New Roman" w:cs="Times New Roman"/>
                <w:sz w:val="22"/>
              </w:rPr>
              <w:t>27.8 ± 4.5</w:t>
            </w:r>
          </w:p>
        </w:tc>
        <w:tc>
          <w:tcPr>
            <w:tcW w:w="1276" w:type="dxa"/>
            <w:vAlign w:val="center"/>
          </w:tcPr>
          <w:p>
            <w:pPr>
              <w:rPr>
                <w:rFonts w:ascii="Times New Roman" w:hAnsi="Times New Roman" w:cs="Times New Roman"/>
                <w:sz w:val="22"/>
              </w:rPr>
            </w:pPr>
            <w:r>
              <w:rPr>
                <w:rFonts w:ascii="Times New Roman" w:hAnsi="Times New Roman" w:cs="Times New Roman"/>
                <w:sz w:val="22"/>
              </w:rPr>
              <w:t>27.8 ± 4.3</w:t>
            </w:r>
          </w:p>
        </w:tc>
        <w:tc>
          <w:tcPr>
            <w:tcW w:w="1559" w:type="dxa"/>
            <w:vAlign w:val="center"/>
          </w:tcPr>
          <w:p>
            <w:pPr>
              <w:rPr>
                <w:rFonts w:ascii="Times New Roman" w:hAnsi="Times New Roman" w:cs="Times New Roman"/>
                <w:sz w:val="22"/>
              </w:rPr>
            </w:pPr>
            <w:r>
              <w:rPr>
                <w:rFonts w:ascii="Times New Roman" w:hAnsi="Times New Roman" w:cs="Times New Roman"/>
                <w:sz w:val="22"/>
              </w:rPr>
              <w:t>27.8 ± 4.6</w:t>
            </w:r>
          </w:p>
        </w:tc>
        <w:tc>
          <w:tcPr>
            <w:tcW w:w="2126" w:type="dxa"/>
            <w:vAlign w:val="center"/>
          </w:tcPr>
          <w:p>
            <w:pPr>
              <w:rPr>
                <w:rFonts w:ascii="Times New Roman" w:hAnsi="Times New Roman" w:cs="Times New Roman"/>
                <w:sz w:val="22"/>
              </w:rPr>
            </w:pPr>
            <w:r>
              <w:rPr>
                <w:rFonts w:ascii="Times New Roman" w:hAnsi="Times New Roman" w:cs="Times New Roman"/>
                <w:i/>
                <w:iCs/>
                <w:sz w:val="22"/>
              </w:rPr>
              <w:t xml:space="preserve">t </w:t>
            </w:r>
            <w:r>
              <w:rPr>
                <w:rFonts w:ascii="Times New Roman" w:hAnsi="Times New Roman" w:cs="Times New Roman"/>
                <w:sz w:val="22"/>
              </w:rPr>
              <w:t xml:space="preserve">= </w:t>
            </w:r>
            <w:r>
              <w:rPr>
                <w:rFonts w:ascii="Times New Roman" w:hAnsi="Times New Roman" w:cs="Times New Roman"/>
                <w:color w:val="000000"/>
                <w:sz w:val="22"/>
              </w:rPr>
              <w:t>–</w:t>
            </w:r>
            <w:r>
              <w:rPr>
                <w:rFonts w:ascii="Times New Roman" w:hAnsi="Times New Roman" w:cs="Times New Roman"/>
                <w:sz w:val="22"/>
              </w:rPr>
              <w:t xml:space="preserve">0.01, </w:t>
            </w:r>
            <w:r>
              <w:rPr>
                <w:rFonts w:ascii="Times New Roman" w:hAnsi="Times New Roman" w:cs="Times New Roman"/>
                <w:i/>
                <w:iCs/>
                <w:sz w:val="22"/>
              </w:rPr>
              <w:t>P</w:t>
            </w:r>
            <w:r>
              <w:rPr>
                <w:rFonts w:ascii="Times New Roman" w:hAnsi="Times New Roman" w:cs="Times New Roman"/>
                <w:i/>
                <w:sz w:val="22"/>
              </w:rPr>
              <w:t xml:space="preserve"> </w:t>
            </w:r>
            <w:r>
              <w:rPr>
                <w:rFonts w:ascii="Times New Roman" w:hAnsi="Times New Roman" w:cs="Times New Roman"/>
                <w:sz w:val="22"/>
              </w:rPr>
              <w:t>= 0.995</w:t>
            </w:r>
          </w:p>
        </w:tc>
      </w:tr>
      <w:tr>
        <w:tc>
          <w:tcPr>
            <w:tcW w:w="2777" w:type="dxa"/>
            <w:vAlign w:val="center"/>
          </w:tcPr>
          <w:p>
            <w:pPr>
              <w:rPr>
                <w:rFonts w:ascii="Times New Roman" w:hAnsi="Times New Roman" w:cs="Times New Roman"/>
                <w:sz w:val="22"/>
              </w:rPr>
            </w:pPr>
            <w:r>
              <w:rPr>
                <w:rFonts w:ascii="Times New Roman" w:hAnsi="Times New Roman" w:cs="Times New Roman"/>
                <w:sz w:val="22"/>
              </w:rPr>
              <w:t>Neck circumference</w:t>
            </w:r>
          </w:p>
        </w:tc>
        <w:tc>
          <w:tcPr>
            <w:tcW w:w="1843" w:type="dxa"/>
            <w:vAlign w:val="center"/>
          </w:tcPr>
          <w:p>
            <w:pPr>
              <w:rPr>
                <w:rFonts w:ascii="Times New Roman" w:hAnsi="Times New Roman" w:cs="Times New Roman"/>
                <w:sz w:val="22"/>
              </w:rPr>
            </w:pPr>
            <w:r>
              <w:rPr>
                <w:rFonts w:ascii="Times New Roman" w:hAnsi="Times New Roman" w:cs="Times New Roman"/>
                <w:sz w:val="22"/>
              </w:rPr>
              <w:t>40.1 ± 3.4</w:t>
            </w:r>
          </w:p>
        </w:tc>
        <w:tc>
          <w:tcPr>
            <w:tcW w:w="1276" w:type="dxa"/>
            <w:vAlign w:val="center"/>
          </w:tcPr>
          <w:p>
            <w:pPr>
              <w:rPr>
                <w:rFonts w:ascii="Times New Roman" w:hAnsi="Times New Roman" w:cs="Times New Roman"/>
                <w:sz w:val="22"/>
              </w:rPr>
            </w:pPr>
            <w:r>
              <w:rPr>
                <w:rFonts w:ascii="Times New Roman" w:hAnsi="Times New Roman" w:cs="Times New Roman"/>
                <w:sz w:val="22"/>
              </w:rPr>
              <w:t>40.1 ± 3.6</w:t>
            </w:r>
          </w:p>
        </w:tc>
        <w:tc>
          <w:tcPr>
            <w:tcW w:w="1559" w:type="dxa"/>
            <w:vAlign w:val="center"/>
          </w:tcPr>
          <w:p>
            <w:pPr>
              <w:rPr>
                <w:rFonts w:ascii="Times New Roman" w:hAnsi="Times New Roman" w:cs="Times New Roman"/>
                <w:sz w:val="22"/>
              </w:rPr>
            </w:pPr>
            <w:r>
              <w:rPr>
                <w:rFonts w:ascii="Times New Roman" w:hAnsi="Times New Roman" w:cs="Times New Roman"/>
                <w:sz w:val="22"/>
              </w:rPr>
              <w:t>40.0 ± 3.3</w:t>
            </w:r>
          </w:p>
        </w:tc>
        <w:tc>
          <w:tcPr>
            <w:tcW w:w="2126" w:type="dxa"/>
            <w:vAlign w:val="center"/>
          </w:tcPr>
          <w:p>
            <w:pPr>
              <w:rPr>
                <w:rFonts w:ascii="Times New Roman" w:hAnsi="Times New Roman" w:cs="Times New Roman"/>
                <w:sz w:val="22"/>
              </w:rPr>
            </w:pPr>
            <w:r>
              <w:rPr>
                <w:rFonts w:ascii="Times New Roman" w:hAnsi="Times New Roman" w:cs="Times New Roman"/>
                <w:i/>
                <w:iCs/>
                <w:sz w:val="22"/>
              </w:rPr>
              <w:t xml:space="preserve">t </w:t>
            </w:r>
            <w:r>
              <w:rPr>
                <w:rFonts w:ascii="Times New Roman" w:hAnsi="Times New Roman" w:cs="Times New Roman"/>
                <w:sz w:val="22"/>
              </w:rPr>
              <w:t xml:space="preserve">= </w:t>
            </w:r>
            <w:r>
              <w:rPr>
                <w:rFonts w:ascii="Times New Roman" w:hAnsi="Times New Roman" w:cs="Times New Roman"/>
                <w:color w:val="000000"/>
                <w:sz w:val="22"/>
              </w:rPr>
              <w:t>–</w:t>
            </w:r>
            <w:r>
              <w:rPr>
                <w:rFonts w:ascii="Times New Roman" w:hAnsi="Times New Roman" w:cs="Times New Roman"/>
                <w:sz w:val="22"/>
              </w:rPr>
              <w:t xml:space="preserve">0.19, </w:t>
            </w:r>
            <w:r>
              <w:rPr>
                <w:rFonts w:ascii="Times New Roman" w:hAnsi="Times New Roman" w:cs="Times New Roman"/>
                <w:i/>
                <w:iCs/>
                <w:sz w:val="22"/>
              </w:rPr>
              <w:t>P</w:t>
            </w:r>
            <w:r>
              <w:rPr>
                <w:rFonts w:ascii="Times New Roman" w:hAnsi="Times New Roman" w:cs="Times New Roman"/>
                <w:i/>
                <w:sz w:val="22"/>
              </w:rPr>
              <w:t xml:space="preserve"> </w:t>
            </w:r>
            <w:r>
              <w:rPr>
                <w:rFonts w:ascii="Times New Roman" w:hAnsi="Times New Roman" w:cs="Times New Roman"/>
                <w:sz w:val="22"/>
              </w:rPr>
              <w:t>= 0.849</w:t>
            </w:r>
          </w:p>
        </w:tc>
      </w:tr>
      <w:tr>
        <w:tc>
          <w:tcPr>
            <w:tcW w:w="2777" w:type="dxa"/>
            <w:vAlign w:val="center"/>
          </w:tcPr>
          <w:p>
            <w:pPr>
              <w:rPr>
                <w:rFonts w:ascii="Times New Roman" w:hAnsi="Times New Roman" w:cs="Times New Roman"/>
                <w:sz w:val="22"/>
              </w:rPr>
            </w:pPr>
            <w:r>
              <w:rPr>
                <w:rFonts w:ascii="Times New Roman" w:hAnsi="Times New Roman" w:cs="Times New Roman"/>
                <w:sz w:val="22"/>
              </w:rPr>
              <w:t>Systolic BP</w:t>
            </w:r>
          </w:p>
        </w:tc>
        <w:tc>
          <w:tcPr>
            <w:tcW w:w="1843" w:type="dxa"/>
            <w:vAlign w:val="center"/>
          </w:tcPr>
          <w:p>
            <w:pPr>
              <w:rPr>
                <w:rFonts w:ascii="Times New Roman" w:hAnsi="Times New Roman" w:cs="Times New Roman"/>
                <w:sz w:val="22"/>
              </w:rPr>
            </w:pPr>
            <w:r>
              <w:rPr>
                <w:rFonts w:ascii="Times New Roman" w:hAnsi="Times New Roman" w:cs="Times New Roman"/>
                <w:sz w:val="22"/>
              </w:rPr>
              <w:t>134.8 ± 16.7</w:t>
            </w:r>
          </w:p>
        </w:tc>
        <w:tc>
          <w:tcPr>
            <w:tcW w:w="1276" w:type="dxa"/>
            <w:vAlign w:val="center"/>
          </w:tcPr>
          <w:p>
            <w:pPr>
              <w:rPr>
                <w:rFonts w:ascii="Times New Roman" w:hAnsi="Times New Roman" w:cs="Times New Roman"/>
                <w:sz w:val="22"/>
              </w:rPr>
            </w:pPr>
            <w:r>
              <w:rPr>
                <w:rFonts w:ascii="Times New Roman" w:hAnsi="Times New Roman" w:cs="Times New Roman"/>
                <w:sz w:val="22"/>
              </w:rPr>
              <w:t>134.1 ± 17.4</w:t>
            </w:r>
          </w:p>
        </w:tc>
        <w:tc>
          <w:tcPr>
            <w:tcW w:w="1559" w:type="dxa"/>
            <w:vAlign w:val="center"/>
          </w:tcPr>
          <w:p>
            <w:pPr>
              <w:rPr>
                <w:rFonts w:ascii="Times New Roman" w:hAnsi="Times New Roman" w:cs="Times New Roman"/>
                <w:sz w:val="22"/>
              </w:rPr>
            </w:pPr>
            <w:r>
              <w:rPr>
                <w:rFonts w:ascii="Times New Roman" w:hAnsi="Times New Roman" w:cs="Times New Roman"/>
                <w:sz w:val="22"/>
              </w:rPr>
              <w:t>135.3 ± 16.2</w:t>
            </w:r>
          </w:p>
        </w:tc>
        <w:tc>
          <w:tcPr>
            <w:tcW w:w="2126" w:type="dxa"/>
            <w:vAlign w:val="center"/>
          </w:tcPr>
          <w:p>
            <w:pPr>
              <w:rPr>
                <w:rFonts w:ascii="Times New Roman" w:hAnsi="Times New Roman" w:cs="Times New Roman"/>
                <w:sz w:val="22"/>
              </w:rPr>
            </w:pPr>
            <w:r>
              <w:rPr>
                <w:rFonts w:ascii="Times New Roman" w:hAnsi="Times New Roman" w:cs="Times New Roman"/>
                <w:i/>
                <w:iCs/>
                <w:sz w:val="22"/>
              </w:rPr>
              <w:t xml:space="preserve">t </w:t>
            </w:r>
            <w:r>
              <w:rPr>
                <w:rFonts w:ascii="Times New Roman" w:hAnsi="Times New Roman" w:cs="Times New Roman"/>
                <w:sz w:val="22"/>
              </w:rPr>
              <w:t xml:space="preserve">= 0.49, </w:t>
            </w:r>
            <w:r>
              <w:rPr>
                <w:rFonts w:ascii="Times New Roman" w:hAnsi="Times New Roman" w:cs="Times New Roman"/>
                <w:i/>
                <w:iCs/>
                <w:sz w:val="22"/>
              </w:rPr>
              <w:t>P</w:t>
            </w:r>
            <w:r>
              <w:rPr>
                <w:rFonts w:ascii="Times New Roman" w:hAnsi="Times New Roman" w:cs="Times New Roman"/>
                <w:i/>
                <w:sz w:val="22"/>
              </w:rPr>
              <w:t xml:space="preserve"> </w:t>
            </w:r>
            <w:r>
              <w:rPr>
                <w:rFonts w:ascii="Times New Roman" w:hAnsi="Times New Roman" w:cs="Times New Roman"/>
                <w:sz w:val="22"/>
              </w:rPr>
              <w:t>= 0.623</w:t>
            </w:r>
          </w:p>
        </w:tc>
      </w:tr>
      <w:tr>
        <w:tc>
          <w:tcPr>
            <w:tcW w:w="2777" w:type="dxa"/>
            <w:vAlign w:val="center"/>
          </w:tcPr>
          <w:p>
            <w:pPr>
              <w:rPr>
                <w:rFonts w:ascii="Times New Roman" w:hAnsi="Times New Roman" w:cs="Times New Roman"/>
                <w:sz w:val="22"/>
              </w:rPr>
            </w:pPr>
            <w:r>
              <w:rPr>
                <w:rFonts w:ascii="Times New Roman" w:hAnsi="Times New Roman" w:cs="Times New Roman"/>
                <w:sz w:val="22"/>
              </w:rPr>
              <w:t>Diastolic BP</w:t>
            </w:r>
          </w:p>
        </w:tc>
        <w:tc>
          <w:tcPr>
            <w:tcW w:w="1843" w:type="dxa"/>
            <w:vAlign w:val="center"/>
          </w:tcPr>
          <w:p>
            <w:pPr>
              <w:rPr>
                <w:rFonts w:ascii="Times New Roman" w:hAnsi="Times New Roman" w:cs="Times New Roman"/>
                <w:sz w:val="22"/>
              </w:rPr>
            </w:pPr>
            <w:r>
              <w:rPr>
                <w:rFonts w:ascii="Times New Roman" w:hAnsi="Times New Roman" w:cs="Times New Roman"/>
                <w:sz w:val="22"/>
              </w:rPr>
              <w:t>88.7 ± 47.8</w:t>
            </w:r>
          </w:p>
        </w:tc>
        <w:tc>
          <w:tcPr>
            <w:tcW w:w="1276" w:type="dxa"/>
            <w:vAlign w:val="center"/>
          </w:tcPr>
          <w:p>
            <w:pPr>
              <w:rPr>
                <w:rFonts w:ascii="Times New Roman" w:hAnsi="Times New Roman" w:cs="Times New Roman"/>
                <w:sz w:val="22"/>
              </w:rPr>
            </w:pPr>
            <w:r>
              <w:rPr>
                <w:rFonts w:ascii="Times New Roman" w:hAnsi="Times New Roman" w:cs="Times New Roman"/>
                <w:sz w:val="22"/>
              </w:rPr>
              <w:t>92.4 ± 71.2</w:t>
            </w:r>
          </w:p>
        </w:tc>
        <w:tc>
          <w:tcPr>
            <w:tcW w:w="1559" w:type="dxa"/>
            <w:vAlign w:val="center"/>
          </w:tcPr>
          <w:p>
            <w:pPr>
              <w:rPr>
                <w:rFonts w:ascii="Times New Roman" w:hAnsi="Times New Roman" w:cs="Times New Roman"/>
                <w:sz w:val="22"/>
              </w:rPr>
            </w:pPr>
            <w:r>
              <w:rPr>
                <w:rFonts w:ascii="Times New Roman" w:hAnsi="Times New Roman" w:cs="Times New Roman"/>
                <w:sz w:val="22"/>
              </w:rPr>
              <w:t>85.8 ± 14.1</w:t>
            </w:r>
          </w:p>
        </w:tc>
        <w:tc>
          <w:tcPr>
            <w:tcW w:w="2126" w:type="dxa"/>
            <w:vAlign w:val="center"/>
          </w:tcPr>
          <w:p>
            <w:pPr>
              <w:rPr>
                <w:rFonts w:ascii="Times New Roman" w:hAnsi="Times New Roman" w:cs="Times New Roman"/>
                <w:sz w:val="22"/>
              </w:rPr>
            </w:pPr>
            <w:r>
              <w:rPr>
                <w:rFonts w:ascii="Times New Roman" w:hAnsi="Times New Roman" w:cs="Times New Roman"/>
                <w:i/>
                <w:iCs/>
                <w:sz w:val="22"/>
              </w:rPr>
              <w:t xml:space="preserve">t </w:t>
            </w:r>
            <w:r>
              <w:rPr>
                <w:rFonts w:ascii="Times New Roman" w:hAnsi="Times New Roman" w:cs="Times New Roman"/>
                <w:sz w:val="22"/>
              </w:rPr>
              <w:t xml:space="preserve">= </w:t>
            </w:r>
            <w:r>
              <w:rPr>
                <w:rFonts w:ascii="Times New Roman" w:hAnsi="Times New Roman" w:cs="Times New Roman"/>
                <w:color w:val="000000"/>
                <w:sz w:val="22"/>
              </w:rPr>
              <w:t>–</w:t>
            </w:r>
            <w:r>
              <w:rPr>
                <w:rFonts w:ascii="Times New Roman" w:hAnsi="Times New Roman" w:cs="Times New Roman"/>
                <w:sz w:val="22"/>
              </w:rPr>
              <w:t xml:space="preserve">0.93, </w:t>
            </w:r>
            <w:r>
              <w:rPr>
                <w:rFonts w:ascii="Times New Roman" w:hAnsi="Times New Roman" w:cs="Times New Roman"/>
                <w:i/>
                <w:iCs/>
                <w:sz w:val="22"/>
              </w:rPr>
              <w:t>P</w:t>
            </w:r>
            <w:r>
              <w:rPr>
                <w:rFonts w:ascii="Times New Roman" w:hAnsi="Times New Roman" w:cs="Times New Roman"/>
                <w:i/>
                <w:sz w:val="22"/>
              </w:rPr>
              <w:t xml:space="preserve"> </w:t>
            </w:r>
            <w:r>
              <w:rPr>
                <w:rFonts w:ascii="Times New Roman" w:hAnsi="Times New Roman" w:cs="Times New Roman"/>
                <w:sz w:val="22"/>
              </w:rPr>
              <w:t>= 0.355</w:t>
            </w:r>
          </w:p>
        </w:tc>
      </w:tr>
      <w:tr>
        <w:tc>
          <w:tcPr>
            <w:tcW w:w="2777" w:type="dxa"/>
            <w:vAlign w:val="center"/>
          </w:tcPr>
          <w:p>
            <w:pPr>
              <w:rPr>
                <w:rFonts w:ascii="Times New Roman" w:hAnsi="Times New Roman" w:cs="Times New Roman"/>
                <w:color w:val="0070C0"/>
                <w:sz w:val="22"/>
              </w:rPr>
            </w:pPr>
            <w:r>
              <w:rPr>
                <w:rFonts w:ascii="Times New Roman" w:hAnsi="Times New Roman" w:cs="Times New Roman" w:hint="eastAsia"/>
                <w:color w:val="0070C0"/>
                <w:sz w:val="22"/>
                <w:highlight w:val="yellow"/>
              </w:rPr>
              <w:t>A</w:t>
            </w:r>
            <w:r>
              <w:rPr>
                <w:rFonts w:ascii="Times New Roman" w:hAnsi="Times New Roman" w:cs="Times New Roman"/>
                <w:color w:val="0070C0"/>
                <w:sz w:val="22"/>
                <w:highlight w:val="yellow"/>
              </w:rPr>
              <w:t>PAP users, N</w:t>
            </w:r>
          </w:p>
        </w:tc>
        <w:tc>
          <w:tcPr>
            <w:tcW w:w="1843" w:type="dxa"/>
            <w:vAlign w:val="center"/>
          </w:tcPr>
          <w:p>
            <w:pPr>
              <w:rPr>
                <w:rFonts w:ascii="Times New Roman" w:hAnsi="Times New Roman" w:cs="Times New Roman"/>
                <w:color w:val="0070C0"/>
                <w:sz w:val="22"/>
              </w:rPr>
            </w:pPr>
            <w:r>
              <w:rPr>
                <w:rFonts w:ascii="Times New Roman" w:hAnsi="Times New Roman" w:cs="Times New Roman" w:hint="eastAsia"/>
                <w:color w:val="0070C0"/>
                <w:sz w:val="22"/>
                <w:highlight w:val="yellow"/>
              </w:rPr>
              <w:t>1</w:t>
            </w:r>
            <w:r>
              <w:rPr>
                <w:rFonts w:ascii="Times New Roman" w:hAnsi="Times New Roman" w:cs="Times New Roman"/>
                <w:color w:val="0070C0"/>
                <w:sz w:val="22"/>
                <w:highlight w:val="yellow"/>
              </w:rPr>
              <w:t>09 (%)</w:t>
            </w:r>
          </w:p>
        </w:tc>
        <w:tc>
          <w:tcPr>
            <w:tcW w:w="1276" w:type="dxa"/>
            <w:vAlign w:val="center"/>
          </w:tcPr>
          <w:p>
            <w:pPr>
              <w:rPr>
                <w:rFonts w:ascii="Times New Roman" w:hAnsi="Times New Roman" w:cs="Times New Roman"/>
                <w:color w:val="0070C0"/>
                <w:sz w:val="22"/>
              </w:rPr>
            </w:pPr>
            <w:r>
              <w:rPr>
                <w:rFonts w:ascii="Times New Roman" w:hAnsi="Times New Roman" w:cs="Times New Roman" w:hint="eastAsia"/>
                <w:color w:val="0070C0"/>
                <w:sz w:val="22"/>
                <w:highlight w:val="yellow"/>
              </w:rPr>
              <w:t>4</w:t>
            </w:r>
            <w:r>
              <w:rPr>
                <w:rFonts w:ascii="Times New Roman" w:hAnsi="Times New Roman" w:cs="Times New Roman"/>
                <w:color w:val="0070C0"/>
                <w:sz w:val="22"/>
                <w:highlight w:val="yellow"/>
              </w:rPr>
              <w:t>8 (60.0%)</w:t>
            </w:r>
          </w:p>
        </w:tc>
        <w:tc>
          <w:tcPr>
            <w:tcW w:w="1559" w:type="dxa"/>
            <w:vAlign w:val="center"/>
          </w:tcPr>
          <w:p>
            <w:pPr>
              <w:rPr>
                <w:rFonts w:ascii="Times New Roman" w:hAnsi="Times New Roman" w:cs="Times New Roman"/>
                <w:color w:val="0070C0"/>
                <w:sz w:val="22"/>
              </w:rPr>
            </w:pPr>
            <w:r>
              <w:rPr>
                <w:rFonts w:ascii="Times New Roman" w:hAnsi="Times New Roman" w:cs="Times New Roman" w:hint="eastAsia"/>
                <w:color w:val="0070C0"/>
                <w:sz w:val="22"/>
                <w:highlight w:val="yellow"/>
              </w:rPr>
              <w:t>6</w:t>
            </w:r>
            <w:r>
              <w:rPr>
                <w:rFonts w:ascii="Times New Roman" w:hAnsi="Times New Roman" w:cs="Times New Roman"/>
                <w:color w:val="0070C0"/>
                <w:sz w:val="22"/>
                <w:highlight w:val="yellow"/>
              </w:rPr>
              <w:t>1 (56.5%)</w:t>
            </w:r>
          </w:p>
        </w:tc>
        <w:tc>
          <w:tcPr>
            <w:tcW w:w="2126" w:type="dxa"/>
            <w:vAlign w:val="center"/>
          </w:tcPr>
          <w:p>
            <w:pPr>
              <w:rPr>
                <w:rFonts w:ascii="Times New Roman" w:hAnsi="Times New Roman" w:cs="Times New Roman"/>
                <w:i/>
                <w:iCs/>
                <w:color w:val="0070C0"/>
                <w:sz w:val="22"/>
              </w:rPr>
            </w:pPr>
            <w:r>
              <w:rPr>
                <w:rFonts w:ascii="Times New Roman" w:hAnsi="Times New Roman" w:cs="Times New Roman"/>
                <w:i/>
                <w:iCs/>
                <w:color w:val="0070C0"/>
                <w:sz w:val="22"/>
                <w:highlight w:val="yellow"/>
              </w:rPr>
              <w:t>χ</w:t>
            </w:r>
            <w:r>
              <w:rPr>
                <w:rFonts w:ascii="Times New Roman" w:hAnsi="Times New Roman" w:cs="Times New Roman"/>
                <w:color w:val="0070C0"/>
                <w:sz w:val="22"/>
                <w:highlight w:val="yellow"/>
                <w:vertAlign w:val="superscript"/>
              </w:rPr>
              <w:t>2</w:t>
            </w:r>
            <w:r>
              <w:rPr>
                <w:rFonts w:ascii="Times New Roman" w:hAnsi="Times New Roman" w:cs="Times New Roman"/>
                <w:color w:val="0070C0"/>
                <w:sz w:val="22"/>
                <w:highlight w:val="yellow"/>
              </w:rPr>
              <w:t xml:space="preserve"> = 0.23, </w:t>
            </w:r>
            <w:r>
              <w:rPr>
                <w:rFonts w:ascii="Times New Roman" w:hAnsi="Times New Roman" w:cs="Times New Roman"/>
                <w:i/>
                <w:iCs/>
                <w:color w:val="0070C0"/>
                <w:sz w:val="22"/>
                <w:highlight w:val="yellow"/>
              </w:rPr>
              <w:t xml:space="preserve">P </w:t>
            </w:r>
            <w:r>
              <w:rPr>
                <w:rFonts w:ascii="Times New Roman" w:hAnsi="Times New Roman" w:cs="Times New Roman"/>
                <w:color w:val="0070C0"/>
                <w:sz w:val="22"/>
                <w:highlight w:val="yellow"/>
              </w:rPr>
              <w:t>= 0.629</w:t>
            </w:r>
          </w:p>
        </w:tc>
      </w:tr>
      <w:tr>
        <w:tc>
          <w:tcPr>
            <w:tcW w:w="2777" w:type="dxa"/>
            <w:tcBorders>
              <w:bottom w:val="single" w:sz="4" w:space="0" w:color="auto"/>
            </w:tcBorders>
            <w:vAlign w:val="center"/>
          </w:tcPr>
          <w:p>
            <w:pPr>
              <w:rPr>
                <w:rFonts w:ascii="Times New Roman" w:hAnsi="Times New Roman" w:cs="Times New Roman"/>
                <w:sz w:val="22"/>
              </w:rPr>
            </w:pPr>
            <w:r>
              <w:rPr>
                <w:rFonts w:ascii="Times New Roman" w:hAnsi="Times New Roman" w:cs="Times New Roman"/>
                <w:sz w:val="22"/>
              </w:rPr>
              <w:t>Covered by health insurance</w:t>
            </w:r>
          </w:p>
        </w:tc>
        <w:tc>
          <w:tcPr>
            <w:tcW w:w="1843" w:type="dxa"/>
            <w:tcBorders>
              <w:bottom w:val="single" w:sz="4" w:space="0" w:color="auto"/>
            </w:tcBorders>
            <w:vAlign w:val="center"/>
          </w:tcPr>
          <w:p>
            <w:pPr>
              <w:rPr>
                <w:rFonts w:ascii="Times New Roman" w:hAnsi="Times New Roman" w:cs="Times New Roman"/>
                <w:sz w:val="22"/>
              </w:rPr>
            </w:pPr>
            <w:r>
              <w:rPr>
                <w:rFonts w:ascii="Times New Roman" w:hAnsi="Times New Roman" w:cs="Times New Roman"/>
                <w:sz w:val="22"/>
              </w:rPr>
              <w:t>96 (51.1%)</w:t>
            </w:r>
          </w:p>
        </w:tc>
        <w:tc>
          <w:tcPr>
            <w:tcW w:w="1276" w:type="dxa"/>
            <w:tcBorders>
              <w:bottom w:val="single" w:sz="4" w:space="0" w:color="auto"/>
            </w:tcBorders>
            <w:vAlign w:val="center"/>
          </w:tcPr>
          <w:p>
            <w:pPr>
              <w:rPr>
                <w:rFonts w:ascii="Times New Roman" w:hAnsi="Times New Roman" w:cs="Times New Roman"/>
                <w:sz w:val="22"/>
              </w:rPr>
            </w:pPr>
            <w:r>
              <w:rPr>
                <w:rFonts w:ascii="Times New Roman" w:hAnsi="Times New Roman" w:cs="Times New Roman"/>
                <w:sz w:val="22"/>
              </w:rPr>
              <w:t>50 (62.5%)</w:t>
            </w:r>
          </w:p>
        </w:tc>
        <w:tc>
          <w:tcPr>
            <w:tcW w:w="1559" w:type="dxa"/>
            <w:tcBorders>
              <w:bottom w:val="single" w:sz="4" w:space="0" w:color="auto"/>
            </w:tcBorders>
            <w:vAlign w:val="center"/>
          </w:tcPr>
          <w:p>
            <w:pPr>
              <w:rPr>
                <w:rFonts w:ascii="Times New Roman" w:hAnsi="Times New Roman" w:cs="Times New Roman"/>
                <w:sz w:val="22"/>
              </w:rPr>
            </w:pPr>
            <w:r>
              <w:rPr>
                <w:rFonts w:ascii="Times New Roman" w:hAnsi="Times New Roman" w:cs="Times New Roman"/>
                <w:sz w:val="22"/>
              </w:rPr>
              <w:t>46 (42.6%)</w:t>
            </w:r>
          </w:p>
        </w:tc>
        <w:tc>
          <w:tcPr>
            <w:tcW w:w="2126" w:type="dxa"/>
            <w:tcBorders>
              <w:bottom w:val="single" w:sz="4" w:space="0" w:color="auto"/>
            </w:tcBorders>
            <w:vAlign w:val="center"/>
          </w:tcPr>
          <w:p>
            <w:pPr>
              <w:rPr>
                <w:rFonts w:ascii="Times New Roman" w:hAnsi="Times New Roman" w:cs="Times New Roman"/>
                <w:sz w:val="22"/>
              </w:rPr>
            </w:pPr>
            <w:r>
              <w:rPr>
                <w:rFonts w:ascii="Times New Roman" w:hAnsi="Times New Roman" w:cs="Times New Roman"/>
                <w:i/>
                <w:iCs/>
                <w:sz w:val="22"/>
              </w:rPr>
              <w:t>χ</w:t>
            </w:r>
            <w:r>
              <w:rPr>
                <w:rFonts w:ascii="Times New Roman" w:hAnsi="Times New Roman" w:cs="Times New Roman"/>
                <w:sz w:val="22"/>
                <w:vertAlign w:val="superscript"/>
              </w:rPr>
              <w:t>2</w:t>
            </w:r>
            <w:r>
              <w:rPr>
                <w:rFonts w:ascii="Times New Roman" w:hAnsi="Times New Roman" w:cs="Times New Roman"/>
                <w:sz w:val="22"/>
              </w:rPr>
              <w:t xml:space="preserve"> = 7.29, </w:t>
            </w:r>
            <w:r>
              <w:rPr>
                <w:rFonts w:ascii="Times New Roman" w:hAnsi="Times New Roman" w:cs="Times New Roman"/>
                <w:b/>
                <w:bCs/>
                <w:i/>
                <w:iCs/>
                <w:sz w:val="22"/>
              </w:rPr>
              <w:t>P</w:t>
            </w:r>
            <w:r>
              <w:rPr>
                <w:rFonts w:ascii="Times New Roman" w:hAnsi="Times New Roman" w:cs="Times New Roman"/>
                <w:b/>
                <w:bCs/>
                <w:i/>
                <w:iCs/>
                <w:sz w:val="22"/>
              </w:rPr>
              <w:t xml:space="preserve"> </w:t>
            </w:r>
            <w:r>
              <w:rPr>
                <w:rFonts w:ascii="Times New Roman" w:hAnsi="Times New Roman" w:cs="Times New Roman"/>
                <w:b/>
                <w:bCs/>
                <w:sz w:val="22"/>
              </w:rPr>
              <w:t>= 0.007</w:t>
            </w:r>
            <w:r>
              <w:rPr>
                <w:rFonts w:ascii="Times New Roman" w:hAnsi="Times New Roman" w:cs="Times New Roman"/>
                <w:sz w:val="22"/>
              </w:rPr>
              <w:t>**</w:t>
            </w:r>
          </w:p>
        </w:tc>
      </w:tr>
    </w:tbl>
    <w:p>
      <w:pPr>
        <w:rPr>
          <w:rFonts w:ascii="Times New Roman" w:hAnsi="Times New Roman" w:cs="Times New Roman"/>
          <w:sz w:val="22"/>
        </w:rPr>
      </w:pPr>
      <w:r>
        <w:rPr>
          <w:rFonts w:ascii="Times New Roman" w:hAnsi="Times New Roman" w:cs="Times New Roman"/>
          <w:b/>
          <w:sz w:val="22"/>
        </w:rPr>
        <w:t>Notes:</w:t>
      </w:r>
      <w:r>
        <w:rPr>
          <w:rFonts w:ascii="Times New Roman" w:hAnsi="Times New Roman" w:cs="Times New Roman"/>
          <w:sz w:val="22"/>
        </w:rPr>
        <w:t xml:space="preserve"> Data are mean ± standard deviation or n (%) values. </w:t>
      </w:r>
      <w:r>
        <w:rPr>
          <w:rFonts w:ascii="Times New Roman" w:hAnsi="Times New Roman" w:cs="Times New Roman"/>
          <w:sz w:val="28"/>
          <w:vertAlign w:val="superscript"/>
        </w:rPr>
        <w:t>a</w:t>
      </w:r>
      <w:r>
        <w:rPr>
          <w:rFonts w:ascii="Times New Roman" w:hAnsi="Times New Roman" w:cs="Times New Roman"/>
          <w:sz w:val="22"/>
        </w:rPr>
        <w:t>Independent</w:t>
      </w:r>
      <w:r>
        <w:rPr>
          <w:rFonts w:ascii="Times New Roman" w:hAnsi="Times New Roman" w:cs="Times New Roman"/>
          <w:sz w:val="22"/>
        </w:rPr>
        <w:t xml:space="preserve"> </w:t>
      </w:r>
      <w:r>
        <w:rPr>
          <w:rFonts w:ascii="Times New Roman" w:hAnsi="Times New Roman" w:cs="Times New Roman"/>
          <w:i/>
          <w:sz w:val="22"/>
        </w:rPr>
        <w:t>t</w:t>
      </w:r>
      <w:r>
        <w:rPr>
          <w:rFonts w:ascii="Times New Roman" w:hAnsi="Times New Roman" w:cs="Times New Roman"/>
          <w:sz w:val="22"/>
        </w:rPr>
        <w:t xml:space="preserve">-test or chi-square test. </w:t>
      </w:r>
      <w:r>
        <w:rPr>
          <w:rFonts w:ascii="Times New Roman" w:hAnsi="Times New Roman" w:cs="Times New Roman"/>
          <w:sz w:val="28"/>
          <w:vertAlign w:val="superscript"/>
        </w:rPr>
        <w:t>b</w:t>
      </w:r>
      <w:r>
        <w:rPr>
          <w:rFonts w:ascii="Times New Roman" w:hAnsi="Times New Roman" w:cs="Times New Roman"/>
          <w:sz w:val="22"/>
        </w:rPr>
        <w:t>Married</w:t>
      </w:r>
      <w:r>
        <w:rPr>
          <w:rFonts w:ascii="Times New Roman" w:hAnsi="Times New Roman" w:cs="Times New Roman"/>
          <w:sz w:val="22"/>
        </w:rPr>
        <w:t xml:space="preserve"> and currently having a spouse. </w:t>
      </w:r>
      <w:r>
        <w:rPr>
          <w:rFonts w:ascii="Times New Roman" w:hAnsi="Times New Roman" w:cs="Times New Roman"/>
          <w:sz w:val="28"/>
          <w:vertAlign w:val="superscript"/>
        </w:rPr>
        <w:t>c</w:t>
      </w:r>
      <w:r>
        <w:rPr>
          <w:rFonts w:ascii="Times New Roman" w:hAnsi="Times New Roman" w:cs="Times New Roman"/>
          <w:sz w:val="22"/>
        </w:rPr>
        <w:t>Number</w:t>
      </w:r>
      <w:r>
        <w:rPr>
          <w:rFonts w:ascii="Times New Roman" w:hAnsi="Times New Roman" w:cs="Times New Roman"/>
          <w:sz w:val="22"/>
        </w:rPr>
        <w:t xml:space="preserve"> of </w:t>
      </w:r>
      <w:r>
        <w:rPr>
          <w:rFonts w:ascii="Times New Roman" w:hAnsi="Times New Roman" w:cs="Times New Roman"/>
          <w:sz w:val="22"/>
        </w:rPr>
        <w:t xml:space="preserve">participants with job. Bold indicates </w:t>
      </w:r>
      <w:r>
        <w:rPr>
          <w:rFonts w:ascii="Times New Roman" w:hAnsi="Times New Roman" w:cs="Times New Roman"/>
          <w:i/>
          <w:iCs/>
          <w:sz w:val="22"/>
        </w:rPr>
        <w:t>P</w:t>
      </w:r>
      <w:r>
        <w:rPr>
          <w:rFonts w:ascii="Times New Roman" w:hAnsi="Times New Roman" w:cs="Times New Roman"/>
          <w:sz w:val="22"/>
        </w:rPr>
        <w:t xml:space="preserve"> &lt; 0.1. </w:t>
      </w:r>
    </w:p>
    <w:p>
      <w:pPr>
        <w:rPr>
          <w:rFonts w:ascii="Times New Roman" w:hAnsi="Times New Roman" w:cs="Times New Roman" w:hint="eastAsia"/>
          <w:sz w:val="22"/>
        </w:rPr>
      </w:pPr>
      <w:r>
        <w:rPr>
          <w:rFonts w:ascii="Times New Roman" w:hAnsi="Times New Roman" w:cs="Times New Roman"/>
          <w:sz w:val="22"/>
        </w:rPr>
        <w:t>*</w:t>
      </w:r>
      <w:r>
        <w:rPr>
          <w:rFonts w:ascii="Times New Roman" w:eastAsiaTheme="minorHAnsi" w:hAnsi="Times New Roman" w:cs="Times New Roman"/>
          <w:i/>
          <w:sz w:val="22"/>
          <w:kern w:val="0"/>
        </w:rPr>
        <w:t>P</w:t>
      </w:r>
      <w:r>
        <w:rPr>
          <w:rFonts w:ascii="Times New Roman" w:hAnsi="Times New Roman" w:cs="Times New Roman"/>
          <w:sz w:val="22"/>
        </w:rPr>
        <w:t> &lt; 0.05</w:t>
      </w:r>
      <w:r>
        <w:rPr>
          <w:rFonts w:ascii="Times New Roman" w:hAnsi="Times New Roman" w:cs="Times New Roman"/>
          <w:sz w:val="22"/>
        </w:rPr>
        <w:t>;</w:t>
      </w:r>
      <w:r>
        <w:rPr>
          <w:rFonts w:ascii="Times New Roman" w:hAnsi="Times New Roman" w:cs="Times New Roman"/>
          <w:sz w:val="22"/>
        </w:rPr>
        <w:t> **</w:t>
      </w:r>
      <w:r>
        <w:rPr>
          <w:rFonts w:ascii="Times New Roman" w:eastAsiaTheme="minorHAnsi" w:hAnsi="Times New Roman" w:cs="Times New Roman"/>
          <w:i/>
          <w:sz w:val="22"/>
          <w:kern w:val="0"/>
        </w:rPr>
        <w:t>P</w:t>
      </w:r>
      <w:r>
        <w:rPr>
          <w:rFonts w:ascii="Times New Roman" w:hAnsi="Times New Roman" w:cs="Times New Roman"/>
          <w:sz w:val="22"/>
        </w:rPr>
        <w:t> &lt; 0.01.</w:t>
      </w:r>
    </w:p>
    <w:p>
      <w:pPr>
        <w:rPr>
          <w:rFonts w:ascii="Times New Roman" w:hAnsi="Times New Roman" w:cs="Times New Roman"/>
          <w:sz w:val="22"/>
        </w:rPr>
      </w:pPr>
      <w:r>
        <w:rPr>
          <w:rFonts w:ascii="Times New Roman" w:hAnsi="Times New Roman" w:cs="Times New Roman"/>
          <w:b/>
          <w:sz w:val="22"/>
        </w:rPr>
        <w:t>Abbreviations:</w:t>
      </w:r>
      <w:r>
        <w:rPr>
          <w:rFonts w:ascii="Times New Roman" w:hAnsi="Times New Roman" w:cs="Times New Roman"/>
          <w:sz w:val="22"/>
        </w:rPr>
        <w:t xml:space="preserve"> BP, blood pressure; CPAP, continuous positive airway pressure</w:t>
      </w:r>
      <w:r>
        <w:rPr>
          <w:rFonts w:ascii="Times New Roman" w:hAnsi="Times New Roman" w:cs="Times New Roman"/>
          <w:sz w:val="22"/>
        </w:rPr>
        <w:t xml:space="preserve">; </w:t>
      </w:r>
      <w:r>
        <w:rPr>
          <w:rFonts w:ascii="Times New Roman" w:hAnsi="Times New Roman" w:cs="Times New Roman"/>
          <w:color w:val="0070C0"/>
          <w:sz w:val="22"/>
        </w:rPr>
        <w:t>APAP, automatic positive airway pressure</w:t>
      </w:r>
    </w:p>
    <w:p>
      <w:pPr>
        <w:rPr>
          <w:rFonts w:ascii="Times New Roman" w:hAnsi="Times New Roman" w:cs="Times New Roman"/>
          <w:b/>
          <w:bCs/>
          <w:sz w:val="22"/>
        </w:rPr>
      </w:pPr>
      <w:bookmarkEnd w:id="53"/>
    </w:p>
    <w:p>
      <w:pPr>
        <w:rPr>
          <w:rFonts w:ascii="Times New Roman" w:hAnsi="Times New Roman" w:cs="Times New Roman"/>
          <w:b/>
          <w:bCs/>
          <w:sz w:val="22"/>
        </w:rPr>
      </w:pPr>
    </w:p>
    <w:p>
      <w:pPr>
        <w:rPr>
          <w:rFonts w:ascii="Times New Roman" w:hAnsi="Times New Roman" w:cs="Times New Roman"/>
          <w:b/>
          <w:bCs/>
          <w:sz w:val="22"/>
        </w:rPr>
      </w:pPr>
      <w:r>
        <w:rPr>
          <w:rFonts w:ascii="Times New Roman" w:hAnsi="Times New Roman" w:cs="Times New Roman"/>
          <w:b/>
          <w:bCs/>
          <w:sz w:val="22"/>
        </w:rPr>
        <w:br w:type="page"/>
      </w:r>
    </w:p>
    <w:p>
      <w:pPr>
        <w:rPr>
          <w:rFonts w:ascii="Times New Roman" w:hAnsi="Times New Roman" w:cs="Times New Roman"/>
          <w:sz w:val="22"/>
        </w:rPr>
      </w:pPr>
      <w:r>
        <w:rPr>
          <w:rFonts w:ascii="Times New Roman" w:hAnsi="Times New Roman" w:cs="Times New Roman"/>
          <w:b/>
          <w:bCs/>
          <w:sz w:val="22"/>
        </w:rPr>
        <w:t>Table 2</w:t>
      </w:r>
      <w:r>
        <w:rPr>
          <w:rFonts w:ascii="Times New Roman" w:hAnsi="Times New Roman" w:cs="Times New Roman"/>
          <w:sz w:val="22"/>
        </w:rPr>
        <w:t xml:space="preserve"> </w:t>
      </w:r>
      <w:r>
        <w:rPr>
          <w:rFonts w:ascii="Times New Roman" w:hAnsi="Times New Roman" w:cs="Times New Roman"/>
          <w:bCs/>
          <w:sz w:val="22"/>
        </w:rPr>
        <w:t>Comparison of self-report questionnaires between compliant and non-compliant with CPAP groups</w:t>
      </w:r>
    </w:p>
    <w:p>
      <w:pPr>
        <w:rPr>
          <w:rFonts w:ascii="Times New Roman" w:hAnsi="Times New Roman" w:cs="Times New Roman"/>
          <w:sz w:val="22"/>
        </w:rPr>
      </w:pPr>
    </w:p>
    <w:tbl>
      <w:tblPr>
        <w:tblW w:w="4476" w:type="pct"/>
        <w:tblLook w:val="04A0" w:firstRow="1" w:lastRow="0" w:firstColumn="1" w:lastColumn="0" w:noHBand="0" w:noVBand="1"/>
        <w:jc w:val="center"/>
        <w:tblCellMar>
          <w:bottom w:w="57" w:type="dxa"/>
        </w:tblCellMar>
      </w:tblPr>
      <w:tblGrid>
        <w:gridCol w:w="277"/>
        <w:gridCol w:w="2351"/>
        <w:gridCol w:w="1679"/>
        <w:gridCol w:w="1679"/>
        <w:gridCol w:w="2094"/>
      </w:tblGrid>
      <w:tr>
        <w:trPr>
          <w:jc w:val="center"/>
          <w:trHeight w:val="393" w:hRule="atLeast"/>
        </w:trPr>
        <w:tc>
          <w:tcPr>
            <w:tcW w:w="1603" w:type="pct"/>
            <w:gridSpan w:val="2"/>
            <w:tcBorders>
              <w:top w:val="single" w:sz="4" w:space="0" w:color="auto"/>
              <w:bottom w:val="single" w:sz="4" w:space="0" w:color="auto"/>
            </w:tcBorders>
            <w:hideMark/>
          </w:tcPr>
          <w:p>
            <w:pPr>
              <w:rPr>
                <w:rFonts w:ascii="Times New Roman" w:hAnsi="Times New Roman" w:cs="Times New Roman"/>
                <w:b/>
                <w:bCs/>
                <w:sz w:val="22"/>
              </w:rPr>
            </w:pPr>
            <w:r>
              <w:rPr>
                <w:rFonts w:ascii="Times New Roman" w:hAnsi="Times New Roman" w:cs="Times New Roman"/>
                <w:b/>
                <w:bCs/>
                <w:sz w:val="22"/>
              </w:rPr>
              <w:t>Questionnaire</w:t>
            </w:r>
          </w:p>
        </w:tc>
        <w:tc>
          <w:tcPr>
            <w:tcW w:w="1047" w:type="pct"/>
            <w:tcBorders>
              <w:top w:val="single" w:sz="4" w:space="0" w:color="auto"/>
              <w:bottom w:val="single" w:sz="4" w:space="0" w:color="auto"/>
            </w:tcBorders>
            <w:hideMark/>
          </w:tcPr>
          <w:p>
            <w:pPr>
              <w:rPr>
                <w:rFonts w:ascii="Times New Roman" w:hAnsi="Times New Roman" w:cs="Times New Roman"/>
                <w:b/>
                <w:bCs/>
                <w:sz w:val="22"/>
              </w:rPr>
            </w:pPr>
            <w:r>
              <w:rPr>
                <w:rFonts w:ascii="Times New Roman" w:hAnsi="Times New Roman" w:cs="Times New Roman"/>
                <w:b/>
                <w:bCs/>
                <w:sz w:val="22"/>
              </w:rPr>
              <w:t>Compliant</w:t>
            </w:r>
          </w:p>
          <w:p>
            <w:pPr>
              <w:rPr>
                <w:rFonts w:ascii="Times New Roman" w:hAnsi="Times New Roman" w:cs="Times New Roman"/>
                <w:b/>
                <w:bCs/>
                <w:sz w:val="22"/>
              </w:rPr>
            </w:pPr>
            <w:r>
              <w:rPr>
                <w:rFonts w:ascii="Times New Roman" w:hAnsi="Times New Roman" w:cs="Times New Roman"/>
                <w:b/>
                <w:bCs/>
                <w:sz w:val="22"/>
              </w:rPr>
              <w:t>(n = 80)</w:t>
            </w:r>
          </w:p>
        </w:tc>
        <w:tc>
          <w:tcPr>
            <w:tcW w:w="1047" w:type="pct"/>
            <w:tcBorders>
              <w:top w:val="single" w:sz="4" w:space="0" w:color="auto"/>
              <w:bottom w:val="single" w:sz="4" w:space="0" w:color="auto"/>
            </w:tcBorders>
            <w:hideMark/>
          </w:tcPr>
          <w:p>
            <w:pPr>
              <w:rPr>
                <w:rFonts w:ascii="Times New Roman" w:hAnsi="Times New Roman" w:cs="Times New Roman"/>
                <w:b/>
                <w:bCs/>
                <w:sz w:val="22"/>
              </w:rPr>
            </w:pPr>
            <w:r>
              <w:rPr>
                <w:rFonts w:ascii="Times New Roman" w:hAnsi="Times New Roman" w:cs="Times New Roman"/>
                <w:b/>
                <w:bCs/>
                <w:sz w:val="22"/>
              </w:rPr>
              <w:t>Non-compliant (n = 108)</w:t>
            </w:r>
          </w:p>
        </w:tc>
        <w:tc>
          <w:tcPr>
            <w:tcW w:w="1303" w:type="pct"/>
            <w:tcBorders>
              <w:top w:val="single" w:sz="4" w:space="0" w:color="auto"/>
              <w:bottom w:val="single" w:sz="4" w:space="0" w:color="auto"/>
            </w:tcBorders>
            <w:hideMark/>
          </w:tcPr>
          <w:p>
            <w:pPr>
              <w:rPr>
                <w:rFonts w:ascii="Times New Roman" w:hAnsi="Times New Roman" w:cs="Times New Roman"/>
                <w:b/>
                <w:bCs/>
                <w:sz w:val="22"/>
              </w:rPr>
            </w:pPr>
            <w:r>
              <w:rPr>
                <w:rFonts w:ascii="Times New Roman" w:hAnsi="Times New Roman" w:cs="Times New Roman"/>
                <w:b/>
                <w:bCs/>
                <w:sz w:val="22"/>
              </w:rPr>
              <w:t>Statistics</w:t>
            </w:r>
            <w:r>
              <w:rPr>
                <w:rFonts w:ascii="Times New Roman" w:hAnsi="Times New Roman" w:cs="Times New Roman"/>
                <w:sz w:val="28"/>
                <w:vertAlign w:val="superscript"/>
              </w:rPr>
              <w:t>a</w:t>
            </w:r>
          </w:p>
        </w:tc>
      </w:tr>
      <w:tr>
        <w:trPr>
          <w:jc w:val="center"/>
          <w:trHeight w:val="321" w:hRule="atLeast"/>
        </w:trPr>
        <w:tc>
          <w:tcPr>
            <w:tcW w:w="1603" w:type="pct"/>
            <w:gridSpan w:val="2"/>
            <w:tcBorders>
              <w:top w:val="single" w:sz="4" w:space="0" w:color="auto"/>
            </w:tcBorders>
            <w:vAlign w:val="center"/>
            <w:hideMark/>
          </w:tcPr>
          <w:p>
            <w:pPr>
              <w:rPr>
                <w:rFonts w:ascii="Times New Roman" w:hAnsi="Times New Roman" w:cs="Times New Roman"/>
                <w:sz w:val="22"/>
              </w:rPr>
            </w:pPr>
            <w:r>
              <w:rPr>
                <w:rFonts w:ascii="Times New Roman" w:hAnsi="Times New Roman" w:cs="Times New Roman"/>
                <w:sz w:val="22"/>
              </w:rPr>
              <w:t>ESS, total score</w:t>
            </w:r>
          </w:p>
        </w:tc>
        <w:tc>
          <w:tcPr>
            <w:tcW w:w="1047" w:type="pct"/>
            <w:tcBorders>
              <w:top w:val="single" w:sz="4" w:space="0" w:color="auto"/>
            </w:tcBorders>
            <w:vAlign w:val="center"/>
            <w:hideMark/>
          </w:tcPr>
          <w:p>
            <w:pPr>
              <w:rPr>
                <w:rFonts w:ascii="Times New Roman" w:hAnsi="Times New Roman" w:cs="Times New Roman"/>
                <w:sz w:val="22"/>
              </w:rPr>
            </w:pPr>
            <w:r>
              <w:rPr>
                <w:rFonts w:ascii="Times New Roman" w:hAnsi="Times New Roman" w:cs="Times New Roman"/>
                <w:sz w:val="22"/>
              </w:rPr>
              <w:t>8.6 ± 3.7</w:t>
            </w:r>
          </w:p>
        </w:tc>
        <w:tc>
          <w:tcPr>
            <w:tcW w:w="1047" w:type="pct"/>
            <w:tcBorders>
              <w:top w:val="single" w:sz="4" w:space="0" w:color="auto"/>
            </w:tcBorders>
            <w:vAlign w:val="center"/>
            <w:hideMark/>
          </w:tcPr>
          <w:p>
            <w:pPr>
              <w:rPr>
                <w:rFonts w:ascii="Times New Roman" w:hAnsi="Times New Roman" w:cs="Times New Roman"/>
                <w:sz w:val="22"/>
              </w:rPr>
            </w:pPr>
            <w:r>
              <w:rPr>
                <w:rFonts w:ascii="Times New Roman" w:hAnsi="Times New Roman" w:cs="Times New Roman"/>
                <w:sz w:val="22"/>
              </w:rPr>
              <w:t>8.3 ± 3.6</w:t>
            </w:r>
          </w:p>
        </w:tc>
        <w:tc>
          <w:tcPr>
            <w:tcW w:w="1303" w:type="pct"/>
            <w:tcBorders>
              <w:top w:val="single" w:sz="4" w:space="0" w:color="auto"/>
            </w:tcBorders>
            <w:vAlign w:val="center"/>
            <w:hideMark/>
          </w:tcPr>
          <w:p>
            <w:pPr>
              <w:rPr>
                <w:rFonts w:ascii="Times New Roman" w:hAnsi="Times New Roman" w:cs="Times New Roman"/>
                <w:sz w:val="22"/>
              </w:rPr>
            </w:pPr>
            <w:r>
              <w:rPr>
                <w:rFonts w:ascii="Times New Roman" w:hAnsi="Times New Roman" w:cs="Times New Roman"/>
                <w:i/>
                <w:iCs/>
                <w:sz w:val="22"/>
              </w:rPr>
              <w:t xml:space="preserve">t </w:t>
            </w:r>
            <w:r>
              <w:rPr>
                <w:rFonts w:ascii="Times New Roman" w:hAnsi="Times New Roman" w:cs="Times New Roman"/>
                <w:sz w:val="22"/>
              </w:rPr>
              <w:t xml:space="preserve">= </w:t>
            </w:r>
            <w:r>
              <w:rPr>
                <w:rFonts w:ascii="Times New Roman" w:hAnsi="Times New Roman" w:cs="Times New Roman"/>
                <w:color w:val="000000"/>
                <w:sz w:val="22"/>
              </w:rPr>
              <w:t>–</w:t>
            </w:r>
            <w:r>
              <w:rPr>
                <w:rFonts w:ascii="Times New Roman" w:hAnsi="Times New Roman" w:cs="Times New Roman"/>
                <w:sz w:val="22"/>
              </w:rPr>
              <w:t xml:space="preserve">0.49, </w:t>
            </w:r>
            <w:r>
              <w:rPr>
                <w:rFonts w:ascii="Times New Roman" w:hAnsi="Times New Roman" w:cs="Times New Roman"/>
                <w:i/>
                <w:iCs/>
                <w:sz w:val="22"/>
              </w:rPr>
              <w:t xml:space="preserve">P </w:t>
            </w:r>
            <w:r>
              <w:rPr>
                <w:rFonts w:ascii="Times New Roman" w:hAnsi="Times New Roman" w:cs="Times New Roman"/>
                <w:sz w:val="22"/>
              </w:rPr>
              <w:t>= 0.625</w:t>
            </w:r>
          </w:p>
        </w:tc>
      </w:tr>
      <w:tr>
        <w:trPr>
          <w:jc w:val="center"/>
          <w:trHeight w:val="321" w:hRule="atLeast"/>
        </w:trPr>
        <w:tc>
          <w:tcPr>
            <w:tcW w:w="1603" w:type="pct"/>
            <w:gridSpan w:val="2"/>
            <w:vAlign w:val="center"/>
            <w:hideMark/>
          </w:tcPr>
          <w:p>
            <w:pPr>
              <w:rPr>
                <w:rFonts w:ascii="Times New Roman" w:hAnsi="Times New Roman" w:cs="Times New Roman"/>
                <w:sz w:val="22"/>
              </w:rPr>
            </w:pPr>
            <w:r>
              <w:rPr>
                <w:rFonts w:ascii="Times New Roman" w:hAnsi="Times New Roman" w:cs="Times New Roman"/>
                <w:sz w:val="22"/>
              </w:rPr>
              <w:t>BDI, total score</w:t>
            </w:r>
          </w:p>
        </w:tc>
        <w:tc>
          <w:tcPr>
            <w:tcW w:w="1047" w:type="pct"/>
            <w:vAlign w:val="center"/>
            <w:hideMark/>
          </w:tcPr>
          <w:p>
            <w:pPr>
              <w:rPr>
                <w:rFonts w:ascii="Times New Roman" w:hAnsi="Times New Roman" w:cs="Times New Roman"/>
                <w:sz w:val="22"/>
              </w:rPr>
            </w:pPr>
            <w:r>
              <w:rPr>
                <w:rFonts w:ascii="Times New Roman" w:hAnsi="Times New Roman" w:cs="Times New Roman"/>
                <w:sz w:val="22"/>
              </w:rPr>
              <w:t>10.5 ± 7.0</w:t>
            </w:r>
          </w:p>
        </w:tc>
        <w:tc>
          <w:tcPr>
            <w:tcW w:w="1047" w:type="pct"/>
            <w:vAlign w:val="center"/>
            <w:hideMark/>
          </w:tcPr>
          <w:p>
            <w:pPr>
              <w:rPr>
                <w:rFonts w:ascii="Times New Roman" w:hAnsi="Times New Roman" w:cs="Times New Roman"/>
                <w:sz w:val="22"/>
              </w:rPr>
            </w:pPr>
            <w:r>
              <w:rPr>
                <w:rFonts w:ascii="Times New Roman" w:hAnsi="Times New Roman" w:cs="Times New Roman"/>
                <w:sz w:val="22"/>
              </w:rPr>
              <w:t>11.1 ± 7.8</w:t>
            </w:r>
          </w:p>
        </w:tc>
        <w:tc>
          <w:tcPr>
            <w:tcW w:w="1303" w:type="pct"/>
            <w:vAlign w:val="center"/>
            <w:hideMark/>
          </w:tcPr>
          <w:p>
            <w:pPr>
              <w:rPr>
                <w:rFonts w:ascii="Times New Roman" w:hAnsi="Times New Roman" w:cs="Times New Roman"/>
                <w:sz w:val="22"/>
              </w:rPr>
            </w:pPr>
            <w:r>
              <w:rPr>
                <w:rFonts w:ascii="Times New Roman" w:hAnsi="Times New Roman" w:cs="Times New Roman"/>
                <w:i/>
                <w:iCs/>
                <w:sz w:val="22"/>
              </w:rPr>
              <w:t xml:space="preserve">t </w:t>
            </w:r>
            <w:r>
              <w:rPr>
                <w:rFonts w:ascii="Times New Roman" w:hAnsi="Times New Roman" w:cs="Times New Roman"/>
                <w:sz w:val="22"/>
              </w:rPr>
              <w:t xml:space="preserve">= 0.60, </w:t>
            </w:r>
            <w:r>
              <w:rPr>
                <w:rFonts w:ascii="Times New Roman" w:hAnsi="Times New Roman" w:cs="Times New Roman"/>
                <w:i/>
                <w:iCs/>
                <w:sz w:val="22"/>
              </w:rPr>
              <w:t>P</w:t>
            </w:r>
            <w:r>
              <w:rPr>
                <w:rFonts w:ascii="Times New Roman" w:hAnsi="Times New Roman" w:cs="Times New Roman"/>
                <w:i/>
                <w:iCs/>
                <w:sz w:val="22"/>
              </w:rPr>
              <w:t xml:space="preserve"> </w:t>
            </w:r>
            <w:r>
              <w:rPr>
                <w:rFonts w:ascii="Times New Roman" w:hAnsi="Times New Roman" w:cs="Times New Roman"/>
                <w:sz w:val="22"/>
              </w:rPr>
              <w:t>= 0.551</w:t>
            </w:r>
          </w:p>
        </w:tc>
      </w:tr>
      <w:tr>
        <w:trPr>
          <w:jc w:val="center"/>
          <w:trHeight w:val="321" w:hRule="atLeast"/>
        </w:trPr>
        <w:tc>
          <w:tcPr>
            <w:tcW w:w="1603" w:type="pct"/>
            <w:gridSpan w:val="2"/>
            <w:vAlign w:val="center"/>
            <w:hideMark/>
          </w:tcPr>
          <w:p>
            <w:pPr>
              <w:rPr>
                <w:rFonts w:ascii="Times New Roman" w:hAnsi="Times New Roman" w:cs="Times New Roman"/>
                <w:sz w:val="22"/>
              </w:rPr>
            </w:pPr>
            <w:r>
              <w:rPr>
                <w:rFonts w:ascii="Times New Roman" w:hAnsi="Times New Roman" w:cs="Times New Roman"/>
                <w:sz w:val="22"/>
              </w:rPr>
              <w:t>Insomnia severity index</w:t>
            </w:r>
          </w:p>
        </w:tc>
        <w:tc>
          <w:tcPr>
            <w:tcW w:w="1047" w:type="pct"/>
            <w:vAlign w:val="center"/>
          </w:tcPr>
          <w:p>
            <w:pPr>
              <w:rPr>
                <w:rFonts w:ascii="Times New Roman" w:hAnsi="Times New Roman" w:cs="Times New Roman"/>
                <w:sz w:val="22"/>
              </w:rPr>
            </w:pPr>
          </w:p>
        </w:tc>
        <w:tc>
          <w:tcPr>
            <w:tcW w:w="1047" w:type="pct"/>
            <w:vAlign w:val="center"/>
          </w:tcPr>
          <w:p>
            <w:pPr>
              <w:rPr>
                <w:rFonts w:ascii="Times New Roman" w:hAnsi="Times New Roman" w:cs="Times New Roman"/>
                <w:sz w:val="22"/>
              </w:rPr>
            </w:pPr>
          </w:p>
        </w:tc>
        <w:tc>
          <w:tcPr>
            <w:tcW w:w="1303" w:type="pct"/>
            <w:vAlign w:val="center"/>
          </w:tcPr>
          <w:p>
            <w:pPr>
              <w:rPr>
                <w:rFonts w:ascii="Times New Roman" w:hAnsi="Times New Roman" w:cs="Times New Roman"/>
                <w:sz w:val="22"/>
              </w:rPr>
            </w:pPr>
          </w:p>
        </w:tc>
      </w:tr>
      <w:tr>
        <w:trPr>
          <w:jc w:val="center"/>
          <w:trHeight w:val="321" w:hRule="atLeast"/>
        </w:trPr>
        <w:tc>
          <w:tcPr>
            <w:tcW w:w="140" w:type="pct"/>
            <w:vAlign w:val="center"/>
          </w:tcPr>
          <w:p>
            <w:pPr>
              <w:rPr>
                <w:rFonts w:ascii="Times New Roman" w:hAnsi="Times New Roman" w:cs="Times New Roman"/>
                <w:sz w:val="22"/>
              </w:rPr>
            </w:pPr>
          </w:p>
        </w:tc>
        <w:tc>
          <w:tcPr>
            <w:tcW w:w="1462" w:type="pct"/>
            <w:vAlign w:val="center"/>
            <w:hideMark/>
          </w:tcPr>
          <w:p>
            <w:pPr>
              <w:rPr>
                <w:rFonts w:ascii="Times New Roman" w:hAnsi="Times New Roman" w:cs="Times New Roman"/>
                <w:sz w:val="22"/>
              </w:rPr>
            </w:pPr>
            <w:r>
              <w:rPr>
                <w:rFonts w:ascii="Times New Roman" w:hAnsi="Times New Roman" w:cs="Times New Roman"/>
                <w:sz w:val="22"/>
              </w:rPr>
              <w:t>Total score</w:t>
            </w:r>
          </w:p>
        </w:tc>
        <w:tc>
          <w:tcPr>
            <w:tcW w:w="1047" w:type="pct"/>
            <w:vAlign w:val="center"/>
            <w:hideMark/>
          </w:tcPr>
          <w:p>
            <w:pPr>
              <w:rPr>
                <w:rFonts w:ascii="Times New Roman" w:hAnsi="Times New Roman" w:cs="Times New Roman"/>
                <w:sz w:val="22"/>
              </w:rPr>
            </w:pPr>
            <w:r>
              <w:rPr>
                <w:rFonts w:ascii="Times New Roman" w:hAnsi="Times New Roman" w:cs="Times New Roman"/>
                <w:sz w:val="22"/>
              </w:rPr>
              <w:t>14.2 ± 5.6</w:t>
            </w:r>
          </w:p>
        </w:tc>
        <w:tc>
          <w:tcPr>
            <w:tcW w:w="1047" w:type="pct"/>
            <w:vAlign w:val="center"/>
            <w:hideMark/>
          </w:tcPr>
          <w:p>
            <w:pPr>
              <w:rPr>
                <w:rFonts w:ascii="Times New Roman" w:hAnsi="Times New Roman" w:cs="Times New Roman"/>
                <w:sz w:val="22"/>
              </w:rPr>
            </w:pPr>
            <w:r>
              <w:rPr>
                <w:rFonts w:ascii="Times New Roman" w:hAnsi="Times New Roman" w:cs="Times New Roman"/>
                <w:sz w:val="22"/>
              </w:rPr>
              <w:t>15.6 ± 5.7</w:t>
            </w:r>
          </w:p>
        </w:tc>
        <w:tc>
          <w:tcPr>
            <w:tcW w:w="1303" w:type="pct"/>
            <w:vAlign w:val="center"/>
            <w:hideMark/>
          </w:tcPr>
          <w:p>
            <w:pPr>
              <w:rPr>
                <w:rFonts w:ascii="Times New Roman" w:hAnsi="Times New Roman" w:cs="Times New Roman"/>
                <w:sz w:val="22"/>
              </w:rPr>
            </w:pPr>
            <w:r>
              <w:rPr>
                <w:rFonts w:ascii="Times New Roman" w:hAnsi="Times New Roman" w:cs="Times New Roman"/>
                <w:i/>
                <w:iCs/>
                <w:sz w:val="22"/>
              </w:rPr>
              <w:t xml:space="preserve">t </w:t>
            </w:r>
            <w:r>
              <w:rPr>
                <w:rFonts w:ascii="Times New Roman" w:hAnsi="Times New Roman" w:cs="Times New Roman"/>
                <w:sz w:val="22"/>
              </w:rPr>
              <w:t xml:space="preserve">= 1.67, </w:t>
            </w:r>
            <w:r>
              <w:rPr>
                <w:rFonts w:ascii="Times New Roman" w:hAnsi="Times New Roman" w:cs="Times New Roman"/>
                <w:b/>
                <w:bCs/>
                <w:i/>
                <w:iCs/>
                <w:sz w:val="22"/>
              </w:rPr>
              <w:t>P</w:t>
            </w:r>
            <w:r>
              <w:rPr>
                <w:rFonts w:ascii="Times New Roman" w:hAnsi="Times New Roman" w:cs="Times New Roman"/>
                <w:b/>
                <w:bCs/>
                <w:i/>
                <w:iCs/>
                <w:sz w:val="22"/>
              </w:rPr>
              <w:t xml:space="preserve"> </w:t>
            </w:r>
            <w:r>
              <w:rPr>
                <w:rFonts w:ascii="Times New Roman" w:hAnsi="Times New Roman" w:cs="Times New Roman"/>
                <w:b/>
                <w:bCs/>
                <w:sz w:val="22"/>
              </w:rPr>
              <w:t>= 0.097</w:t>
            </w:r>
          </w:p>
        </w:tc>
      </w:tr>
      <w:tr>
        <w:trPr>
          <w:jc w:val="center"/>
          <w:trHeight w:val="321" w:hRule="atLeast"/>
        </w:trPr>
        <w:tc>
          <w:tcPr>
            <w:tcW w:w="140" w:type="pct"/>
            <w:vAlign w:val="center"/>
          </w:tcPr>
          <w:p>
            <w:pPr>
              <w:rPr>
                <w:rFonts w:ascii="Times New Roman" w:hAnsi="Times New Roman" w:cs="Times New Roman"/>
                <w:sz w:val="22"/>
              </w:rPr>
            </w:pPr>
          </w:p>
        </w:tc>
        <w:tc>
          <w:tcPr>
            <w:tcW w:w="1462" w:type="pct"/>
            <w:vAlign w:val="center"/>
            <w:hideMark/>
          </w:tcPr>
          <w:p>
            <w:pPr>
              <w:rPr>
                <w:rFonts w:ascii="Times New Roman" w:hAnsi="Times New Roman" w:cs="Times New Roman"/>
                <w:sz w:val="22"/>
              </w:rPr>
            </w:pPr>
            <w:r>
              <w:rPr>
                <w:rFonts w:ascii="Times New Roman" w:hAnsi="Times New Roman" w:cs="Times New Roman"/>
                <w:sz w:val="22"/>
              </w:rPr>
              <w:t>Difficulty falling asleep</w:t>
            </w:r>
          </w:p>
        </w:tc>
        <w:tc>
          <w:tcPr>
            <w:tcW w:w="1047" w:type="pct"/>
            <w:vAlign w:val="center"/>
            <w:hideMark/>
          </w:tcPr>
          <w:p>
            <w:pPr>
              <w:rPr>
                <w:rFonts w:ascii="Times New Roman" w:hAnsi="Times New Roman" w:cs="Times New Roman"/>
                <w:sz w:val="22"/>
              </w:rPr>
            </w:pPr>
            <w:r>
              <w:rPr>
                <w:rFonts w:ascii="Times New Roman" w:hAnsi="Times New Roman" w:cs="Times New Roman"/>
                <w:sz w:val="22"/>
              </w:rPr>
              <w:t>0.6 ± 0.8</w:t>
            </w:r>
          </w:p>
        </w:tc>
        <w:tc>
          <w:tcPr>
            <w:tcW w:w="1047" w:type="pct"/>
            <w:vAlign w:val="center"/>
            <w:hideMark/>
          </w:tcPr>
          <w:p>
            <w:pPr>
              <w:rPr>
                <w:rFonts w:ascii="Times New Roman" w:hAnsi="Times New Roman" w:cs="Times New Roman"/>
                <w:strike/>
                <w:sz w:val="22"/>
              </w:rPr>
            </w:pPr>
            <w:r>
              <w:rPr>
                <w:rFonts w:ascii="Times New Roman" w:hAnsi="Times New Roman" w:cs="Times New Roman"/>
                <w:sz w:val="22"/>
              </w:rPr>
              <w:t>0.7 ± 1.0</w:t>
            </w:r>
          </w:p>
        </w:tc>
        <w:tc>
          <w:tcPr>
            <w:tcW w:w="1303" w:type="pct"/>
            <w:vAlign w:val="center"/>
            <w:hideMark/>
          </w:tcPr>
          <w:p>
            <w:pPr>
              <w:rPr>
                <w:rFonts w:ascii="Times New Roman" w:hAnsi="Times New Roman" w:cs="Times New Roman"/>
                <w:sz w:val="22"/>
              </w:rPr>
            </w:pPr>
            <w:r>
              <w:rPr>
                <w:rFonts w:ascii="Times New Roman" w:hAnsi="Times New Roman" w:cs="Times New Roman"/>
                <w:i/>
                <w:iCs/>
                <w:sz w:val="22"/>
              </w:rPr>
              <w:t xml:space="preserve">t </w:t>
            </w:r>
            <w:r>
              <w:rPr>
                <w:rFonts w:ascii="Times New Roman" w:hAnsi="Times New Roman" w:cs="Times New Roman"/>
                <w:sz w:val="22"/>
              </w:rPr>
              <w:t xml:space="preserve">= 0.89, </w:t>
            </w:r>
            <w:r>
              <w:rPr>
                <w:rFonts w:ascii="Times New Roman" w:hAnsi="Times New Roman" w:cs="Times New Roman"/>
                <w:i/>
                <w:iCs/>
                <w:sz w:val="22"/>
              </w:rPr>
              <w:t>P</w:t>
            </w:r>
            <w:r>
              <w:rPr>
                <w:rFonts w:ascii="Times New Roman" w:hAnsi="Times New Roman" w:cs="Times New Roman"/>
                <w:i/>
                <w:iCs/>
                <w:sz w:val="22"/>
              </w:rPr>
              <w:t xml:space="preserve"> </w:t>
            </w:r>
            <w:r>
              <w:rPr>
                <w:rFonts w:ascii="Times New Roman" w:hAnsi="Times New Roman" w:cs="Times New Roman"/>
                <w:sz w:val="22"/>
              </w:rPr>
              <w:t>= 0.374</w:t>
            </w:r>
          </w:p>
        </w:tc>
      </w:tr>
      <w:tr>
        <w:trPr>
          <w:jc w:val="center"/>
          <w:trHeight w:val="321" w:hRule="atLeast"/>
        </w:trPr>
        <w:tc>
          <w:tcPr>
            <w:tcW w:w="140" w:type="pct"/>
            <w:vAlign w:val="center"/>
          </w:tcPr>
          <w:p>
            <w:pPr>
              <w:rPr>
                <w:rFonts w:ascii="Times New Roman" w:hAnsi="Times New Roman" w:cs="Times New Roman"/>
                <w:sz w:val="22"/>
              </w:rPr>
            </w:pPr>
          </w:p>
        </w:tc>
        <w:tc>
          <w:tcPr>
            <w:tcW w:w="1462" w:type="pct"/>
            <w:vAlign w:val="center"/>
            <w:hideMark/>
          </w:tcPr>
          <w:p>
            <w:pPr>
              <w:rPr>
                <w:rFonts w:ascii="Times New Roman" w:hAnsi="Times New Roman" w:cs="Times New Roman"/>
                <w:sz w:val="22"/>
              </w:rPr>
            </w:pPr>
            <w:r>
              <w:rPr>
                <w:rFonts w:ascii="Times New Roman" w:hAnsi="Times New Roman" w:cs="Times New Roman"/>
                <w:sz w:val="22"/>
              </w:rPr>
              <w:t>Difficulty staying asleep</w:t>
            </w:r>
          </w:p>
        </w:tc>
        <w:tc>
          <w:tcPr>
            <w:tcW w:w="1047" w:type="pct"/>
            <w:vAlign w:val="center"/>
            <w:hideMark/>
          </w:tcPr>
          <w:p>
            <w:pPr>
              <w:rPr>
                <w:rFonts w:ascii="Times New Roman" w:hAnsi="Times New Roman" w:cs="Times New Roman"/>
                <w:sz w:val="22"/>
              </w:rPr>
            </w:pPr>
            <w:r>
              <w:rPr>
                <w:rFonts w:ascii="Times New Roman" w:hAnsi="Times New Roman" w:cs="Times New Roman"/>
                <w:sz w:val="22"/>
              </w:rPr>
              <w:t>0.9 ± 1.1</w:t>
            </w:r>
          </w:p>
        </w:tc>
        <w:tc>
          <w:tcPr>
            <w:tcW w:w="1047" w:type="pct"/>
            <w:vAlign w:val="center"/>
            <w:hideMark/>
          </w:tcPr>
          <w:p>
            <w:pPr>
              <w:rPr>
                <w:rFonts w:ascii="Times New Roman" w:hAnsi="Times New Roman" w:cs="Times New Roman"/>
                <w:sz w:val="22"/>
              </w:rPr>
            </w:pPr>
            <w:r>
              <w:rPr>
                <w:rFonts w:ascii="Times New Roman" w:hAnsi="Times New Roman" w:cs="Times New Roman"/>
                <w:sz w:val="22"/>
              </w:rPr>
              <w:t>1.1 ± 1.1</w:t>
            </w:r>
          </w:p>
        </w:tc>
        <w:tc>
          <w:tcPr>
            <w:tcW w:w="1303" w:type="pct"/>
            <w:vAlign w:val="center"/>
            <w:hideMark/>
          </w:tcPr>
          <w:p>
            <w:pPr>
              <w:rPr>
                <w:rFonts w:ascii="Times New Roman" w:hAnsi="Times New Roman" w:cs="Times New Roman"/>
                <w:sz w:val="22"/>
              </w:rPr>
            </w:pPr>
            <w:r>
              <w:rPr>
                <w:rFonts w:ascii="Times New Roman" w:hAnsi="Times New Roman" w:cs="Times New Roman"/>
                <w:i/>
                <w:iCs/>
                <w:sz w:val="22"/>
              </w:rPr>
              <w:t xml:space="preserve">t </w:t>
            </w:r>
            <w:r>
              <w:rPr>
                <w:rFonts w:ascii="Times New Roman" w:hAnsi="Times New Roman" w:cs="Times New Roman"/>
                <w:sz w:val="22"/>
              </w:rPr>
              <w:t xml:space="preserve">= 1.24, </w:t>
            </w:r>
            <w:r>
              <w:rPr>
                <w:rFonts w:ascii="Times New Roman" w:hAnsi="Times New Roman" w:cs="Times New Roman"/>
                <w:i/>
                <w:iCs/>
                <w:sz w:val="22"/>
              </w:rPr>
              <w:t>P</w:t>
            </w:r>
            <w:r>
              <w:rPr>
                <w:rFonts w:ascii="Times New Roman" w:hAnsi="Times New Roman" w:cs="Times New Roman"/>
                <w:i/>
                <w:iCs/>
                <w:sz w:val="22"/>
              </w:rPr>
              <w:t xml:space="preserve"> </w:t>
            </w:r>
            <w:r>
              <w:rPr>
                <w:rFonts w:ascii="Times New Roman" w:hAnsi="Times New Roman" w:cs="Times New Roman"/>
                <w:sz w:val="22"/>
              </w:rPr>
              <w:t>= 0.218</w:t>
            </w:r>
          </w:p>
        </w:tc>
      </w:tr>
      <w:tr>
        <w:trPr>
          <w:jc w:val="center"/>
          <w:trHeight w:val="321" w:hRule="atLeast"/>
        </w:trPr>
        <w:tc>
          <w:tcPr>
            <w:tcW w:w="140" w:type="pct"/>
            <w:vAlign w:val="center"/>
          </w:tcPr>
          <w:p>
            <w:pPr>
              <w:rPr>
                <w:rFonts w:ascii="Times New Roman" w:hAnsi="Times New Roman" w:cs="Times New Roman"/>
                <w:sz w:val="22"/>
              </w:rPr>
            </w:pPr>
          </w:p>
        </w:tc>
        <w:tc>
          <w:tcPr>
            <w:tcW w:w="1462" w:type="pct"/>
            <w:vAlign w:val="center"/>
            <w:hideMark/>
          </w:tcPr>
          <w:p>
            <w:pPr>
              <w:rPr>
                <w:rFonts w:ascii="Times New Roman" w:hAnsi="Times New Roman" w:cs="Times New Roman"/>
                <w:sz w:val="22"/>
              </w:rPr>
            </w:pPr>
            <w:r>
              <w:rPr>
                <w:rFonts w:ascii="Times New Roman" w:hAnsi="Times New Roman" w:cs="Times New Roman"/>
                <w:sz w:val="22"/>
              </w:rPr>
              <w:t>Waking up early</w:t>
            </w:r>
          </w:p>
        </w:tc>
        <w:tc>
          <w:tcPr>
            <w:tcW w:w="1047" w:type="pct"/>
            <w:vAlign w:val="center"/>
            <w:hideMark/>
          </w:tcPr>
          <w:p>
            <w:pPr>
              <w:rPr>
                <w:rFonts w:ascii="Times New Roman" w:hAnsi="Times New Roman" w:cs="Times New Roman"/>
                <w:sz w:val="22"/>
              </w:rPr>
            </w:pPr>
            <w:r>
              <w:rPr>
                <w:rFonts w:ascii="Times New Roman" w:hAnsi="Times New Roman" w:cs="Times New Roman"/>
                <w:sz w:val="22"/>
              </w:rPr>
              <w:t>1.3 ± 1.1</w:t>
            </w:r>
          </w:p>
        </w:tc>
        <w:tc>
          <w:tcPr>
            <w:tcW w:w="1047" w:type="pct"/>
            <w:vAlign w:val="center"/>
            <w:hideMark/>
          </w:tcPr>
          <w:p>
            <w:pPr>
              <w:rPr>
                <w:rFonts w:ascii="Times New Roman" w:hAnsi="Times New Roman" w:cs="Times New Roman"/>
                <w:sz w:val="22"/>
              </w:rPr>
            </w:pPr>
            <w:r>
              <w:rPr>
                <w:rFonts w:ascii="Times New Roman" w:hAnsi="Times New Roman" w:cs="Times New Roman"/>
                <w:sz w:val="22"/>
              </w:rPr>
              <w:t>1.5 ± 1.2</w:t>
            </w:r>
          </w:p>
        </w:tc>
        <w:tc>
          <w:tcPr>
            <w:tcW w:w="1303" w:type="pct"/>
            <w:vAlign w:val="center"/>
            <w:hideMark/>
          </w:tcPr>
          <w:p>
            <w:pPr>
              <w:rPr>
                <w:rFonts w:ascii="Times New Roman" w:hAnsi="Times New Roman" w:cs="Times New Roman"/>
                <w:sz w:val="22"/>
              </w:rPr>
            </w:pPr>
            <w:r>
              <w:rPr>
                <w:rFonts w:ascii="Times New Roman" w:hAnsi="Times New Roman" w:cs="Times New Roman"/>
                <w:i/>
                <w:iCs/>
                <w:sz w:val="22"/>
              </w:rPr>
              <w:t xml:space="preserve">t </w:t>
            </w:r>
            <w:r>
              <w:rPr>
                <w:rFonts w:ascii="Times New Roman" w:hAnsi="Times New Roman" w:cs="Times New Roman"/>
                <w:sz w:val="22"/>
              </w:rPr>
              <w:t xml:space="preserve">= 0.91, </w:t>
            </w:r>
            <w:r>
              <w:rPr>
                <w:rFonts w:ascii="Times New Roman" w:hAnsi="Times New Roman" w:cs="Times New Roman"/>
                <w:i/>
                <w:iCs/>
                <w:sz w:val="22"/>
              </w:rPr>
              <w:t>P</w:t>
            </w:r>
            <w:r>
              <w:rPr>
                <w:rFonts w:ascii="Times New Roman" w:hAnsi="Times New Roman" w:cs="Times New Roman"/>
                <w:i/>
                <w:iCs/>
                <w:sz w:val="22"/>
              </w:rPr>
              <w:t xml:space="preserve"> </w:t>
            </w:r>
            <w:r>
              <w:rPr>
                <w:rFonts w:ascii="Times New Roman" w:hAnsi="Times New Roman" w:cs="Times New Roman"/>
                <w:sz w:val="22"/>
              </w:rPr>
              <w:t>= 0.364</w:t>
            </w:r>
          </w:p>
        </w:tc>
      </w:tr>
      <w:tr>
        <w:trPr>
          <w:jc w:val="center"/>
          <w:trHeight w:val="321" w:hRule="atLeast"/>
        </w:trPr>
        <w:tc>
          <w:tcPr>
            <w:tcW w:w="140" w:type="pct"/>
            <w:vAlign w:val="center"/>
          </w:tcPr>
          <w:p>
            <w:pPr>
              <w:rPr>
                <w:rFonts w:ascii="Times New Roman" w:hAnsi="Times New Roman" w:cs="Times New Roman"/>
                <w:sz w:val="22"/>
              </w:rPr>
            </w:pPr>
          </w:p>
        </w:tc>
        <w:tc>
          <w:tcPr>
            <w:tcW w:w="1462" w:type="pct"/>
            <w:vAlign w:val="center"/>
            <w:hideMark/>
          </w:tcPr>
          <w:p>
            <w:pPr>
              <w:rPr>
                <w:rFonts w:ascii="Times New Roman" w:hAnsi="Times New Roman" w:cs="Times New Roman"/>
                <w:sz w:val="22"/>
              </w:rPr>
            </w:pPr>
            <w:r>
              <w:rPr>
                <w:rFonts w:ascii="Times New Roman" w:hAnsi="Times New Roman" w:cs="Times New Roman"/>
                <w:sz w:val="22"/>
              </w:rPr>
              <w:t>How dissatisfied</w:t>
            </w:r>
          </w:p>
        </w:tc>
        <w:tc>
          <w:tcPr>
            <w:tcW w:w="1047" w:type="pct"/>
            <w:vAlign w:val="center"/>
            <w:hideMark/>
          </w:tcPr>
          <w:p>
            <w:pPr>
              <w:rPr>
                <w:rFonts w:ascii="Times New Roman" w:hAnsi="Times New Roman" w:cs="Times New Roman"/>
                <w:sz w:val="22"/>
              </w:rPr>
            </w:pPr>
            <w:r>
              <w:rPr>
                <w:rFonts w:ascii="Times New Roman" w:hAnsi="Times New Roman" w:cs="Times New Roman"/>
                <w:sz w:val="22"/>
              </w:rPr>
              <w:t>3.3 ± 1.2</w:t>
            </w:r>
          </w:p>
        </w:tc>
        <w:tc>
          <w:tcPr>
            <w:tcW w:w="1047" w:type="pct"/>
            <w:vAlign w:val="center"/>
            <w:hideMark/>
          </w:tcPr>
          <w:p>
            <w:pPr>
              <w:rPr>
                <w:rFonts w:ascii="Times New Roman" w:hAnsi="Times New Roman" w:cs="Times New Roman"/>
                <w:sz w:val="22"/>
              </w:rPr>
            </w:pPr>
            <w:r>
              <w:rPr>
                <w:rFonts w:ascii="Times New Roman" w:hAnsi="Times New Roman" w:cs="Times New Roman"/>
                <w:sz w:val="22"/>
              </w:rPr>
              <w:t>3.6 ± 1.0</w:t>
            </w:r>
          </w:p>
        </w:tc>
        <w:tc>
          <w:tcPr>
            <w:tcW w:w="1303" w:type="pct"/>
            <w:vAlign w:val="center"/>
            <w:hideMark/>
          </w:tcPr>
          <w:p>
            <w:pPr>
              <w:rPr>
                <w:rFonts w:ascii="Times New Roman" w:hAnsi="Times New Roman" w:cs="Times New Roman"/>
                <w:sz w:val="22"/>
              </w:rPr>
            </w:pPr>
            <w:r>
              <w:rPr>
                <w:rFonts w:ascii="Times New Roman" w:hAnsi="Times New Roman" w:cs="Times New Roman"/>
                <w:i/>
                <w:iCs/>
                <w:sz w:val="22"/>
              </w:rPr>
              <w:t xml:space="preserve">t </w:t>
            </w:r>
            <w:r>
              <w:rPr>
                <w:rFonts w:ascii="Times New Roman" w:hAnsi="Times New Roman" w:cs="Times New Roman"/>
                <w:sz w:val="22"/>
              </w:rPr>
              <w:t xml:space="preserve">= 1.687, </w:t>
            </w:r>
            <w:r>
              <w:rPr>
                <w:rFonts w:ascii="Times New Roman" w:hAnsi="Times New Roman" w:cs="Times New Roman"/>
                <w:b/>
                <w:bCs/>
                <w:i/>
                <w:iCs/>
                <w:sz w:val="22"/>
              </w:rPr>
              <w:t>P</w:t>
            </w:r>
            <w:r>
              <w:rPr>
                <w:rFonts w:ascii="Times New Roman" w:hAnsi="Times New Roman" w:cs="Times New Roman"/>
                <w:b/>
                <w:bCs/>
                <w:i/>
                <w:iCs/>
                <w:sz w:val="22"/>
              </w:rPr>
              <w:t xml:space="preserve"> </w:t>
            </w:r>
            <w:r>
              <w:rPr>
                <w:rFonts w:ascii="Times New Roman" w:hAnsi="Times New Roman" w:cs="Times New Roman"/>
                <w:b/>
                <w:bCs/>
                <w:sz w:val="22"/>
              </w:rPr>
              <w:t>= 0.094</w:t>
            </w:r>
          </w:p>
        </w:tc>
      </w:tr>
      <w:tr>
        <w:trPr>
          <w:jc w:val="center"/>
          <w:trHeight w:val="321" w:hRule="atLeast"/>
        </w:trPr>
        <w:tc>
          <w:tcPr>
            <w:tcW w:w="140" w:type="pct"/>
            <w:vAlign w:val="center"/>
          </w:tcPr>
          <w:p>
            <w:pPr>
              <w:rPr>
                <w:rFonts w:ascii="Times New Roman" w:hAnsi="Times New Roman" w:cs="Times New Roman"/>
                <w:sz w:val="22"/>
              </w:rPr>
            </w:pPr>
          </w:p>
        </w:tc>
        <w:tc>
          <w:tcPr>
            <w:tcW w:w="1462" w:type="pct"/>
            <w:vAlign w:val="center"/>
            <w:hideMark/>
          </w:tcPr>
          <w:p>
            <w:pPr>
              <w:rPr>
                <w:rFonts w:ascii="Times New Roman" w:hAnsi="Times New Roman" w:cs="Times New Roman"/>
                <w:sz w:val="22"/>
              </w:rPr>
            </w:pPr>
            <w:r>
              <w:rPr>
                <w:rFonts w:ascii="Times New Roman" w:hAnsi="Times New Roman" w:cs="Times New Roman"/>
                <w:sz w:val="22"/>
              </w:rPr>
              <w:t>How noticeable</w:t>
            </w:r>
          </w:p>
        </w:tc>
        <w:tc>
          <w:tcPr>
            <w:tcW w:w="1047" w:type="pct"/>
            <w:vAlign w:val="center"/>
            <w:hideMark/>
          </w:tcPr>
          <w:p>
            <w:pPr>
              <w:rPr>
                <w:rFonts w:ascii="Times New Roman" w:hAnsi="Times New Roman" w:cs="Times New Roman"/>
                <w:sz w:val="22"/>
              </w:rPr>
            </w:pPr>
            <w:r>
              <w:rPr>
                <w:rFonts w:ascii="Times New Roman" w:hAnsi="Times New Roman" w:cs="Times New Roman"/>
                <w:sz w:val="22"/>
              </w:rPr>
              <w:t>2.3 ± 1.2</w:t>
            </w:r>
          </w:p>
        </w:tc>
        <w:tc>
          <w:tcPr>
            <w:tcW w:w="1047" w:type="pct"/>
            <w:vAlign w:val="center"/>
            <w:hideMark/>
          </w:tcPr>
          <w:p>
            <w:pPr>
              <w:rPr>
                <w:rFonts w:ascii="Times New Roman" w:hAnsi="Times New Roman" w:cs="Times New Roman"/>
                <w:sz w:val="22"/>
              </w:rPr>
            </w:pPr>
            <w:r>
              <w:rPr>
                <w:rFonts w:ascii="Times New Roman" w:hAnsi="Times New Roman" w:cs="Times New Roman"/>
                <w:sz w:val="22"/>
              </w:rPr>
              <w:t>2.7 ± 1.2</w:t>
            </w:r>
          </w:p>
        </w:tc>
        <w:tc>
          <w:tcPr>
            <w:tcW w:w="1303" w:type="pct"/>
            <w:vAlign w:val="center"/>
            <w:hideMark/>
          </w:tcPr>
          <w:p>
            <w:pPr>
              <w:rPr>
                <w:rFonts w:ascii="Times New Roman" w:hAnsi="Times New Roman" w:cs="Times New Roman"/>
                <w:sz w:val="22"/>
              </w:rPr>
            </w:pPr>
            <w:r>
              <w:rPr>
                <w:rFonts w:ascii="Times New Roman" w:hAnsi="Times New Roman" w:cs="Times New Roman"/>
                <w:i/>
                <w:iCs/>
                <w:sz w:val="22"/>
              </w:rPr>
              <w:t xml:space="preserve">t </w:t>
            </w:r>
            <w:r>
              <w:rPr>
                <w:rFonts w:ascii="Times New Roman" w:hAnsi="Times New Roman" w:cs="Times New Roman"/>
                <w:sz w:val="22"/>
              </w:rPr>
              <w:t xml:space="preserve">= 1.81, </w:t>
            </w:r>
            <w:r>
              <w:rPr>
                <w:rFonts w:ascii="Times New Roman" w:hAnsi="Times New Roman" w:cs="Times New Roman"/>
                <w:b/>
                <w:bCs/>
                <w:i/>
                <w:iCs/>
                <w:sz w:val="22"/>
              </w:rPr>
              <w:t>P</w:t>
            </w:r>
            <w:r>
              <w:rPr>
                <w:rFonts w:ascii="Times New Roman" w:hAnsi="Times New Roman" w:cs="Times New Roman"/>
                <w:b/>
                <w:bCs/>
                <w:i/>
                <w:iCs/>
                <w:sz w:val="22"/>
              </w:rPr>
              <w:t xml:space="preserve"> </w:t>
            </w:r>
            <w:r>
              <w:rPr>
                <w:rFonts w:ascii="Times New Roman" w:hAnsi="Times New Roman" w:cs="Times New Roman"/>
                <w:b/>
                <w:bCs/>
                <w:sz w:val="22"/>
              </w:rPr>
              <w:t>= 0.072</w:t>
            </w:r>
          </w:p>
        </w:tc>
      </w:tr>
      <w:tr>
        <w:trPr>
          <w:jc w:val="center"/>
          <w:trHeight w:val="321" w:hRule="atLeast"/>
        </w:trPr>
        <w:tc>
          <w:tcPr>
            <w:tcW w:w="140" w:type="pct"/>
            <w:vAlign w:val="center"/>
          </w:tcPr>
          <w:p>
            <w:pPr>
              <w:rPr>
                <w:rFonts w:ascii="Times New Roman" w:hAnsi="Times New Roman" w:cs="Times New Roman"/>
                <w:sz w:val="22"/>
              </w:rPr>
            </w:pPr>
          </w:p>
        </w:tc>
        <w:tc>
          <w:tcPr>
            <w:tcW w:w="1462" w:type="pct"/>
            <w:vAlign w:val="center"/>
            <w:hideMark/>
          </w:tcPr>
          <w:p>
            <w:pPr>
              <w:rPr>
                <w:rFonts w:ascii="Times New Roman" w:hAnsi="Times New Roman" w:cs="Times New Roman"/>
                <w:sz w:val="22"/>
              </w:rPr>
            </w:pPr>
            <w:r>
              <w:rPr>
                <w:rFonts w:ascii="Times New Roman" w:hAnsi="Times New Roman" w:cs="Times New Roman"/>
                <w:sz w:val="22"/>
              </w:rPr>
              <w:t>How worried/distressed</w:t>
            </w:r>
          </w:p>
        </w:tc>
        <w:tc>
          <w:tcPr>
            <w:tcW w:w="1047" w:type="pct"/>
            <w:vAlign w:val="center"/>
            <w:hideMark/>
          </w:tcPr>
          <w:p>
            <w:pPr>
              <w:rPr>
                <w:rFonts w:ascii="Times New Roman" w:hAnsi="Times New Roman" w:cs="Times New Roman"/>
                <w:sz w:val="22"/>
              </w:rPr>
            </w:pPr>
            <w:r>
              <w:rPr>
                <w:rFonts w:ascii="Times New Roman" w:hAnsi="Times New Roman" w:cs="Times New Roman"/>
                <w:sz w:val="22"/>
              </w:rPr>
              <w:t xml:space="preserve"> 3.0 ± 1.3</w:t>
            </w:r>
          </w:p>
        </w:tc>
        <w:tc>
          <w:tcPr>
            <w:tcW w:w="1047" w:type="pct"/>
            <w:vAlign w:val="center"/>
            <w:hideMark/>
          </w:tcPr>
          <w:p>
            <w:pPr>
              <w:rPr>
                <w:rFonts w:ascii="Times New Roman" w:hAnsi="Times New Roman" w:cs="Times New Roman"/>
                <w:sz w:val="22"/>
              </w:rPr>
            </w:pPr>
            <w:r>
              <w:rPr>
                <w:rFonts w:ascii="Times New Roman" w:hAnsi="Times New Roman" w:cs="Times New Roman"/>
                <w:sz w:val="22"/>
              </w:rPr>
              <w:t>3.2 ± 1.3</w:t>
            </w:r>
          </w:p>
        </w:tc>
        <w:tc>
          <w:tcPr>
            <w:tcW w:w="1303" w:type="pct"/>
            <w:vAlign w:val="center"/>
            <w:hideMark/>
          </w:tcPr>
          <w:p>
            <w:pPr>
              <w:rPr>
                <w:rFonts w:ascii="Times New Roman" w:hAnsi="Times New Roman" w:cs="Times New Roman"/>
                <w:sz w:val="22"/>
              </w:rPr>
            </w:pPr>
            <w:r>
              <w:rPr>
                <w:rFonts w:ascii="Times New Roman" w:hAnsi="Times New Roman" w:cs="Times New Roman"/>
                <w:i/>
                <w:iCs/>
                <w:sz w:val="22"/>
              </w:rPr>
              <w:t xml:space="preserve">t </w:t>
            </w:r>
            <w:r>
              <w:rPr>
                <w:rFonts w:ascii="Times New Roman" w:hAnsi="Times New Roman" w:cs="Times New Roman"/>
                <w:sz w:val="22"/>
              </w:rPr>
              <w:t xml:space="preserve">= 0.57, </w:t>
            </w:r>
            <w:r>
              <w:rPr>
                <w:rFonts w:ascii="Times New Roman" w:hAnsi="Times New Roman" w:cs="Times New Roman"/>
                <w:i/>
                <w:iCs/>
                <w:sz w:val="22"/>
              </w:rPr>
              <w:t>P</w:t>
            </w:r>
            <w:r>
              <w:rPr>
                <w:rFonts w:ascii="Times New Roman" w:hAnsi="Times New Roman" w:cs="Times New Roman"/>
                <w:i/>
                <w:iCs/>
                <w:sz w:val="22"/>
              </w:rPr>
              <w:t xml:space="preserve"> </w:t>
            </w:r>
            <w:r>
              <w:rPr>
                <w:rFonts w:ascii="Times New Roman" w:hAnsi="Times New Roman" w:cs="Times New Roman"/>
                <w:sz w:val="22"/>
              </w:rPr>
              <w:t>= 0.567</w:t>
            </w:r>
          </w:p>
        </w:tc>
      </w:tr>
      <w:tr>
        <w:trPr>
          <w:jc w:val="center"/>
          <w:trHeight w:val="321" w:hRule="atLeast"/>
        </w:trPr>
        <w:tc>
          <w:tcPr>
            <w:tcW w:w="140" w:type="pct"/>
            <w:vAlign w:val="center"/>
          </w:tcPr>
          <w:p>
            <w:pPr>
              <w:rPr>
                <w:rFonts w:ascii="Times New Roman" w:hAnsi="Times New Roman" w:cs="Times New Roman"/>
                <w:sz w:val="22"/>
              </w:rPr>
            </w:pPr>
          </w:p>
        </w:tc>
        <w:tc>
          <w:tcPr>
            <w:tcW w:w="1462" w:type="pct"/>
            <w:vAlign w:val="center"/>
            <w:hideMark/>
          </w:tcPr>
          <w:p>
            <w:pPr>
              <w:rPr>
                <w:rFonts w:ascii="Times New Roman" w:hAnsi="Times New Roman" w:cs="Times New Roman"/>
                <w:sz w:val="22"/>
              </w:rPr>
            </w:pPr>
            <w:r>
              <w:rPr>
                <w:rFonts w:ascii="Times New Roman" w:hAnsi="Times New Roman" w:cs="Times New Roman"/>
                <w:sz w:val="22"/>
              </w:rPr>
              <w:t>Interfering with function</w:t>
            </w:r>
          </w:p>
        </w:tc>
        <w:tc>
          <w:tcPr>
            <w:tcW w:w="1047" w:type="pct"/>
            <w:vAlign w:val="center"/>
            <w:hideMark/>
          </w:tcPr>
          <w:p>
            <w:pPr>
              <w:rPr>
                <w:rFonts w:ascii="Times New Roman" w:hAnsi="Times New Roman" w:cs="Times New Roman"/>
                <w:sz w:val="22"/>
              </w:rPr>
            </w:pPr>
            <w:r>
              <w:rPr>
                <w:rFonts w:ascii="Times New Roman" w:hAnsi="Times New Roman" w:cs="Times New Roman"/>
                <w:sz w:val="22"/>
              </w:rPr>
              <w:t>2.7 ± 1.1</w:t>
            </w:r>
          </w:p>
        </w:tc>
        <w:tc>
          <w:tcPr>
            <w:tcW w:w="1047" w:type="pct"/>
            <w:vAlign w:val="center"/>
            <w:hideMark/>
          </w:tcPr>
          <w:p>
            <w:pPr>
              <w:rPr>
                <w:rFonts w:ascii="Times New Roman" w:hAnsi="Times New Roman" w:cs="Times New Roman"/>
                <w:sz w:val="22"/>
              </w:rPr>
            </w:pPr>
            <w:r>
              <w:rPr>
                <w:rFonts w:ascii="Times New Roman" w:hAnsi="Times New Roman" w:cs="Times New Roman"/>
                <w:sz w:val="22"/>
              </w:rPr>
              <w:t>2.9 ± 1.1</w:t>
            </w:r>
          </w:p>
        </w:tc>
        <w:tc>
          <w:tcPr>
            <w:tcW w:w="1303" w:type="pct"/>
            <w:vAlign w:val="center"/>
            <w:hideMark/>
          </w:tcPr>
          <w:p>
            <w:pPr>
              <w:rPr>
                <w:rFonts w:ascii="Times New Roman" w:hAnsi="Times New Roman" w:cs="Times New Roman"/>
                <w:sz w:val="22"/>
              </w:rPr>
            </w:pPr>
            <w:r>
              <w:rPr>
                <w:rFonts w:ascii="Times New Roman" w:hAnsi="Times New Roman" w:cs="Times New Roman"/>
                <w:i/>
                <w:iCs/>
                <w:sz w:val="22"/>
              </w:rPr>
              <w:t xml:space="preserve">t </w:t>
            </w:r>
            <w:r>
              <w:rPr>
                <w:rFonts w:ascii="Times New Roman" w:hAnsi="Times New Roman" w:cs="Times New Roman"/>
                <w:sz w:val="22"/>
              </w:rPr>
              <w:t xml:space="preserve">= 1.22, </w:t>
            </w:r>
            <w:r>
              <w:rPr>
                <w:rFonts w:ascii="Times New Roman" w:hAnsi="Times New Roman" w:cs="Times New Roman"/>
                <w:i/>
                <w:iCs/>
                <w:sz w:val="22"/>
              </w:rPr>
              <w:t>P</w:t>
            </w:r>
            <w:r>
              <w:rPr>
                <w:rFonts w:ascii="Times New Roman" w:hAnsi="Times New Roman" w:cs="Times New Roman"/>
                <w:i/>
                <w:iCs/>
                <w:sz w:val="22"/>
              </w:rPr>
              <w:t xml:space="preserve"> </w:t>
            </w:r>
            <w:r>
              <w:rPr>
                <w:rFonts w:ascii="Times New Roman" w:hAnsi="Times New Roman" w:cs="Times New Roman"/>
                <w:sz w:val="22"/>
              </w:rPr>
              <w:t>= 0.223</w:t>
            </w:r>
          </w:p>
        </w:tc>
      </w:tr>
      <w:tr>
        <w:trPr>
          <w:jc w:val="center"/>
          <w:trHeight w:val="469" w:hRule="exact"/>
        </w:trPr>
        <w:tc>
          <w:tcPr>
            <w:tcW w:w="1603" w:type="pct"/>
            <w:gridSpan w:val="2"/>
            <w:vAlign w:val="center"/>
            <w:hideMark/>
          </w:tcPr>
          <w:p>
            <w:pPr>
              <w:rPr>
                <w:rFonts w:ascii="Times New Roman" w:hAnsi="Times New Roman" w:cs="Times New Roman"/>
                <w:iCs/>
                <w:sz w:val="22"/>
              </w:rPr>
            </w:pPr>
            <w:r>
              <w:rPr>
                <w:rFonts w:ascii="Times New Roman" w:hAnsi="Times New Roman" w:cs="Times New Roman"/>
                <w:iCs/>
                <w:sz w:val="22"/>
              </w:rPr>
              <w:t>PSQI</w:t>
            </w:r>
          </w:p>
        </w:tc>
        <w:tc>
          <w:tcPr>
            <w:tcW w:w="1047" w:type="pct"/>
            <w:vAlign w:val="center"/>
          </w:tcPr>
          <w:p>
            <w:pPr>
              <w:rPr>
                <w:rFonts w:ascii="Times New Roman" w:hAnsi="Times New Roman" w:cs="Times New Roman"/>
                <w:sz w:val="22"/>
              </w:rPr>
            </w:pPr>
          </w:p>
        </w:tc>
        <w:tc>
          <w:tcPr>
            <w:tcW w:w="1047" w:type="pct"/>
            <w:vAlign w:val="center"/>
          </w:tcPr>
          <w:p>
            <w:pPr>
              <w:rPr>
                <w:rFonts w:ascii="Times New Roman" w:hAnsi="Times New Roman" w:cs="Times New Roman"/>
                <w:sz w:val="22"/>
              </w:rPr>
            </w:pPr>
          </w:p>
        </w:tc>
        <w:tc>
          <w:tcPr>
            <w:tcW w:w="1303" w:type="pct"/>
            <w:vAlign w:val="center"/>
          </w:tcPr>
          <w:p>
            <w:pPr>
              <w:rPr>
                <w:rFonts w:ascii="Times New Roman" w:hAnsi="Times New Roman" w:cs="Times New Roman"/>
                <w:sz w:val="22"/>
              </w:rPr>
            </w:pPr>
          </w:p>
        </w:tc>
      </w:tr>
      <w:tr>
        <w:trPr>
          <w:jc w:val="center"/>
          <w:trHeight w:val="380" w:hRule="atLeast"/>
        </w:trPr>
        <w:tc>
          <w:tcPr>
            <w:tcW w:w="140" w:type="pct"/>
            <w:vAlign w:val="center"/>
          </w:tcPr>
          <w:p>
            <w:pPr>
              <w:rPr>
                <w:rFonts w:ascii="Times New Roman" w:hAnsi="Times New Roman" w:cs="Times New Roman"/>
                <w:sz w:val="22"/>
              </w:rPr>
            </w:pPr>
          </w:p>
        </w:tc>
        <w:tc>
          <w:tcPr>
            <w:tcW w:w="1462" w:type="pct"/>
            <w:vAlign w:val="center"/>
            <w:hideMark/>
          </w:tcPr>
          <w:p>
            <w:pPr>
              <w:rPr>
                <w:rFonts w:ascii="Times New Roman" w:hAnsi="Times New Roman" w:cs="Times New Roman"/>
                <w:sz w:val="22"/>
              </w:rPr>
            </w:pPr>
            <w:r>
              <w:rPr>
                <w:rFonts w:ascii="Times New Roman" w:hAnsi="Times New Roman" w:cs="Times New Roman"/>
                <w:sz w:val="22"/>
              </w:rPr>
              <w:t>PSQI, total score</w:t>
            </w:r>
          </w:p>
        </w:tc>
        <w:tc>
          <w:tcPr>
            <w:tcW w:w="1047" w:type="pct"/>
            <w:vAlign w:val="center"/>
            <w:hideMark/>
          </w:tcPr>
          <w:p>
            <w:pPr>
              <w:rPr>
                <w:rFonts w:ascii="Times New Roman" w:hAnsi="Times New Roman" w:cs="Times New Roman"/>
                <w:sz w:val="22"/>
              </w:rPr>
            </w:pPr>
            <w:r>
              <w:rPr>
                <w:rFonts w:ascii="Times New Roman" w:hAnsi="Times New Roman" w:cs="Times New Roman"/>
                <w:sz w:val="22"/>
              </w:rPr>
              <w:t>7.8 ± 2.9</w:t>
            </w:r>
          </w:p>
        </w:tc>
        <w:tc>
          <w:tcPr>
            <w:tcW w:w="1047" w:type="pct"/>
            <w:vAlign w:val="center"/>
            <w:hideMark/>
          </w:tcPr>
          <w:p>
            <w:pPr>
              <w:rPr>
                <w:rFonts w:ascii="Times New Roman" w:hAnsi="Times New Roman" w:cs="Times New Roman"/>
                <w:sz w:val="22"/>
              </w:rPr>
            </w:pPr>
            <w:r>
              <w:rPr>
                <w:rFonts w:ascii="Times New Roman" w:hAnsi="Times New Roman" w:cs="Times New Roman"/>
                <w:sz w:val="22"/>
              </w:rPr>
              <w:t>8.2 ± 3.4</w:t>
            </w:r>
          </w:p>
        </w:tc>
        <w:tc>
          <w:tcPr>
            <w:tcW w:w="1303" w:type="pct"/>
            <w:vAlign w:val="center"/>
            <w:hideMark/>
          </w:tcPr>
          <w:p>
            <w:pPr>
              <w:rPr>
                <w:rFonts w:ascii="Times New Roman" w:hAnsi="Times New Roman" w:cs="Times New Roman"/>
                <w:sz w:val="22"/>
              </w:rPr>
            </w:pPr>
            <w:r>
              <w:rPr>
                <w:rFonts w:ascii="Times New Roman" w:hAnsi="Times New Roman" w:cs="Times New Roman"/>
                <w:i/>
                <w:iCs/>
                <w:sz w:val="22"/>
              </w:rPr>
              <w:t xml:space="preserve">t </w:t>
            </w:r>
            <w:r>
              <w:rPr>
                <w:rFonts w:ascii="Times New Roman" w:hAnsi="Times New Roman" w:cs="Times New Roman"/>
                <w:sz w:val="22"/>
              </w:rPr>
              <w:t xml:space="preserve">= 0.52, </w:t>
            </w:r>
            <w:r>
              <w:rPr>
                <w:rFonts w:ascii="Times New Roman" w:hAnsi="Times New Roman" w:cs="Times New Roman"/>
                <w:i/>
                <w:iCs/>
                <w:sz w:val="22"/>
              </w:rPr>
              <w:t>P</w:t>
            </w:r>
            <w:r>
              <w:rPr>
                <w:rFonts w:ascii="Times New Roman" w:hAnsi="Times New Roman" w:cs="Times New Roman"/>
                <w:i/>
                <w:iCs/>
                <w:sz w:val="22"/>
              </w:rPr>
              <w:t xml:space="preserve"> </w:t>
            </w:r>
            <w:r>
              <w:rPr>
                <w:rFonts w:ascii="Times New Roman" w:hAnsi="Times New Roman" w:cs="Times New Roman"/>
                <w:sz w:val="22"/>
              </w:rPr>
              <w:t>= 0.603</w:t>
            </w:r>
          </w:p>
        </w:tc>
      </w:tr>
      <w:tr>
        <w:trPr>
          <w:jc w:val="center"/>
          <w:trHeight w:val="380" w:hRule="atLeast"/>
        </w:trPr>
        <w:tc>
          <w:tcPr>
            <w:tcW w:w="140" w:type="pct"/>
            <w:vAlign w:val="center"/>
          </w:tcPr>
          <w:p>
            <w:pPr>
              <w:rPr>
                <w:rFonts w:ascii="Times New Roman" w:hAnsi="Times New Roman" w:cs="Times New Roman"/>
                <w:sz w:val="22"/>
              </w:rPr>
            </w:pPr>
          </w:p>
        </w:tc>
        <w:tc>
          <w:tcPr>
            <w:tcW w:w="1462" w:type="pct"/>
            <w:vAlign w:val="center"/>
            <w:hideMark/>
          </w:tcPr>
          <w:p>
            <w:pPr>
              <w:rPr>
                <w:rFonts w:ascii="Times New Roman" w:hAnsi="Times New Roman" w:cs="Times New Roman"/>
                <w:sz w:val="22"/>
              </w:rPr>
            </w:pPr>
            <w:r>
              <w:rPr>
                <w:rFonts w:ascii="Times New Roman" w:hAnsi="Times New Roman" w:cs="Times New Roman"/>
                <w:sz w:val="22"/>
              </w:rPr>
              <w:t>PSQI, total sleep time</w:t>
            </w:r>
          </w:p>
        </w:tc>
        <w:tc>
          <w:tcPr>
            <w:tcW w:w="1047" w:type="pct"/>
            <w:vAlign w:val="center"/>
            <w:hideMark/>
          </w:tcPr>
          <w:p>
            <w:pPr>
              <w:rPr>
                <w:rFonts w:ascii="Times New Roman" w:hAnsi="Times New Roman" w:cs="Times New Roman"/>
                <w:sz w:val="22"/>
              </w:rPr>
            </w:pPr>
            <w:r>
              <w:rPr>
                <w:rFonts w:ascii="Times New Roman" w:hAnsi="Times New Roman" w:cs="Times New Roman"/>
                <w:sz w:val="22"/>
              </w:rPr>
              <w:t>380.3 ± 75.3</w:t>
            </w:r>
          </w:p>
        </w:tc>
        <w:tc>
          <w:tcPr>
            <w:tcW w:w="1047" w:type="pct"/>
            <w:vAlign w:val="center"/>
            <w:hideMark/>
          </w:tcPr>
          <w:p>
            <w:pPr>
              <w:rPr>
                <w:rFonts w:ascii="Times New Roman" w:hAnsi="Times New Roman" w:cs="Times New Roman"/>
                <w:sz w:val="22"/>
              </w:rPr>
            </w:pPr>
            <w:r>
              <w:rPr>
                <w:rFonts w:ascii="Times New Roman" w:hAnsi="Times New Roman" w:cs="Times New Roman"/>
                <w:sz w:val="22"/>
              </w:rPr>
              <w:t>384.6 ± 79.2</w:t>
            </w:r>
          </w:p>
        </w:tc>
        <w:tc>
          <w:tcPr>
            <w:tcW w:w="1303" w:type="pct"/>
            <w:vAlign w:val="center"/>
            <w:hideMark/>
          </w:tcPr>
          <w:p>
            <w:pPr>
              <w:rPr>
                <w:rFonts w:ascii="Times New Roman" w:hAnsi="Times New Roman" w:cs="Times New Roman"/>
                <w:sz w:val="22"/>
              </w:rPr>
            </w:pPr>
            <w:r>
              <w:rPr>
                <w:rFonts w:ascii="Times New Roman" w:hAnsi="Times New Roman" w:cs="Times New Roman"/>
                <w:i/>
                <w:iCs/>
                <w:sz w:val="22"/>
              </w:rPr>
              <w:t xml:space="preserve">t </w:t>
            </w:r>
            <w:r>
              <w:rPr>
                <w:rFonts w:ascii="Times New Roman" w:hAnsi="Times New Roman" w:cs="Times New Roman"/>
                <w:sz w:val="22"/>
              </w:rPr>
              <w:t xml:space="preserve">= 0.37, </w:t>
            </w:r>
            <w:r>
              <w:rPr>
                <w:rFonts w:ascii="Times New Roman" w:hAnsi="Times New Roman" w:cs="Times New Roman"/>
                <w:i/>
                <w:iCs/>
                <w:sz w:val="22"/>
              </w:rPr>
              <w:t>P</w:t>
            </w:r>
            <w:r>
              <w:rPr>
                <w:rFonts w:ascii="Times New Roman" w:hAnsi="Times New Roman" w:cs="Times New Roman"/>
                <w:i/>
                <w:iCs/>
                <w:sz w:val="22"/>
              </w:rPr>
              <w:t xml:space="preserve"> </w:t>
            </w:r>
            <w:r>
              <w:rPr>
                <w:rFonts w:ascii="Times New Roman" w:hAnsi="Times New Roman" w:cs="Times New Roman"/>
                <w:sz w:val="22"/>
              </w:rPr>
              <w:t>= 0.715</w:t>
            </w:r>
          </w:p>
        </w:tc>
      </w:tr>
      <w:tr>
        <w:trPr>
          <w:jc w:val="center"/>
          <w:trHeight w:val="380" w:hRule="atLeast"/>
        </w:trPr>
        <w:tc>
          <w:tcPr>
            <w:tcW w:w="140" w:type="pct"/>
            <w:vAlign w:val="center"/>
          </w:tcPr>
          <w:p>
            <w:pPr>
              <w:rPr>
                <w:rFonts w:ascii="Times New Roman" w:hAnsi="Times New Roman" w:cs="Times New Roman"/>
                <w:sz w:val="22"/>
              </w:rPr>
            </w:pPr>
          </w:p>
        </w:tc>
        <w:tc>
          <w:tcPr>
            <w:tcW w:w="1462" w:type="pct"/>
            <w:vAlign w:val="center"/>
            <w:hideMark/>
          </w:tcPr>
          <w:p>
            <w:pPr>
              <w:rPr>
                <w:rFonts w:ascii="Times New Roman" w:hAnsi="Times New Roman" w:cs="Times New Roman"/>
                <w:sz w:val="22"/>
              </w:rPr>
            </w:pPr>
            <w:r>
              <w:rPr>
                <w:rFonts w:ascii="Times New Roman" w:hAnsi="Times New Roman" w:cs="Times New Roman"/>
                <w:sz w:val="22"/>
              </w:rPr>
              <w:t>PSQI, sleep efficiency</w:t>
            </w:r>
          </w:p>
        </w:tc>
        <w:tc>
          <w:tcPr>
            <w:tcW w:w="1047" w:type="pct"/>
            <w:vAlign w:val="center"/>
            <w:hideMark/>
          </w:tcPr>
          <w:p>
            <w:pPr>
              <w:rPr>
                <w:rFonts w:ascii="Times New Roman" w:hAnsi="Times New Roman" w:cs="Times New Roman"/>
                <w:sz w:val="22"/>
              </w:rPr>
            </w:pPr>
            <w:r>
              <w:rPr>
                <w:rFonts w:ascii="Times New Roman" w:hAnsi="Times New Roman" w:cs="Times New Roman"/>
                <w:sz w:val="22"/>
              </w:rPr>
              <w:t>90.5 ± 11.6</w:t>
            </w:r>
          </w:p>
        </w:tc>
        <w:tc>
          <w:tcPr>
            <w:tcW w:w="1047" w:type="pct"/>
            <w:vAlign w:val="center"/>
            <w:hideMark/>
          </w:tcPr>
          <w:p>
            <w:pPr>
              <w:rPr>
                <w:rFonts w:ascii="Times New Roman" w:hAnsi="Times New Roman" w:cs="Times New Roman"/>
                <w:sz w:val="22"/>
              </w:rPr>
            </w:pPr>
            <w:r>
              <w:rPr>
                <w:rFonts w:ascii="Times New Roman" w:hAnsi="Times New Roman" w:cs="Times New Roman"/>
                <w:sz w:val="22"/>
              </w:rPr>
              <w:t>91.1 ± 12.5</w:t>
            </w:r>
          </w:p>
        </w:tc>
        <w:tc>
          <w:tcPr>
            <w:tcW w:w="1303" w:type="pct"/>
            <w:vAlign w:val="center"/>
            <w:hideMark/>
          </w:tcPr>
          <w:p>
            <w:pPr>
              <w:rPr>
                <w:rFonts w:ascii="Times New Roman" w:hAnsi="Times New Roman" w:cs="Times New Roman"/>
                <w:sz w:val="22"/>
              </w:rPr>
            </w:pPr>
            <w:r>
              <w:rPr>
                <w:rFonts w:ascii="Times New Roman" w:hAnsi="Times New Roman" w:cs="Times New Roman"/>
                <w:i/>
                <w:iCs/>
                <w:sz w:val="22"/>
              </w:rPr>
              <w:t xml:space="preserve">t </w:t>
            </w:r>
            <w:r>
              <w:rPr>
                <w:rFonts w:ascii="Times New Roman" w:hAnsi="Times New Roman" w:cs="Times New Roman"/>
                <w:sz w:val="22"/>
              </w:rPr>
              <w:t xml:space="preserve">= 0.32, </w:t>
            </w:r>
            <w:r>
              <w:rPr>
                <w:rFonts w:ascii="Times New Roman" w:hAnsi="Times New Roman" w:cs="Times New Roman"/>
                <w:i/>
                <w:iCs/>
                <w:sz w:val="22"/>
              </w:rPr>
              <w:t>P</w:t>
            </w:r>
            <w:r>
              <w:rPr>
                <w:rFonts w:ascii="Times New Roman" w:hAnsi="Times New Roman" w:cs="Times New Roman"/>
                <w:i/>
                <w:iCs/>
                <w:sz w:val="22"/>
              </w:rPr>
              <w:t xml:space="preserve"> </w:t>
            </w:r>
            <w:r>
              <w:rPr>
                <w:rFonts w:ascii="Times New Roman" w:hAnsi="Times New Roman" w:cs="Times New Roman"/>
                <w:sz w:val="22"/>
              </w:rPr>
              <w:t>= 0.752</w:t>
            </w:r>
          </w:p>
        </w:tc>
      </w:tr>
      <w:tr>
        <w:trPr>
          <w:jc w:val="center"/>
          <w:trHeight w:val="380" w:hRule="atLeast"/>
        </w:trPr>
        <w:tc>
          <w:tcPr>
            <w:tcW w:w="140" w:type="pct"/>
            <w:tcBorders>
              <w:bottom w:val="single" w:sz="4" w:space="0" w:color="auto"/>
            </w:tcBorders>
            <w:vAlign w:val="center"/>
          </w:tcPr>
          <w:p>
            <w:pPr>
              <w:rPr>
                <w:rFonts w:ascii="Times New Roman" w:hAnsi="Times New Roman" w:cs="Times New Roman"/>
                <w:sz w:val="22"/>
              </w:rPr>
            </w:pPr>
          </w:p>
        </w:tc>
        <w:tc>
          <w:tcPr>
            <w:tcW w:w="1462" w:type="pct"/>
            <w:tcBorders>
              <w:bottom w:val="single" w:sz="4" w:space="0" w:color="auto"/>
            </w:tcBorders>
            <w:vAlign w:val="center"/>
            <w:hideMark/>
          </w:tcPr>
          <w:p>
            <w:pPr>
              <w:rPr>
                <w:rFonts w:ascii="Times New Roman" w:hAnsi="Times New Roman" w:cs="Times New Roman"/>
                <w:sz w:val="22"/>
              </w:rPr>
            </w:pPr>
            <w:r>
              <w:rPr>
                <w:rFonts w:ascii="Times New Roman" w:hAnsi="Times New Roman" w:cs="Times New Roman"/>
                <w:sz w:val="22"/>
              </w:rPr>
              <w:t>Overall sleep quality</w:t>
            </w:r>
          </w:p>
        </w:tc>
        <w:tc>
          <w:tcPr>
            <w:tcW w:w="1047" w:type="pct"/>
            <w:tcBorders>
              <w:bottom w:val="single" w:sz="4" w:space="0" w:color="auto"/>
            </w:tcBorders>
            <w:vAlign w:val="center"/>
            <w:hideMark/>
          </w:tcPr>
          <w:p>
            <w:pPr>
              <w:rPr>
                <w:rFonts w:ascii="Times New Roman" w:hAnsi="Times New Roman" w:cs="Times New Roman"/>
                <w:sz w:val="22"/>
              </w:rPr>
            </w:pPr>
            <w:r>
              <w:rPr>
                <w:rFonts w:ascii="Times New Roman" w:hAnsi="Times New Roman" w:cs="Times New Roman"/>
                <w:sz w:val="22"/>
              </w:rPr>
              <w:t>1.7 ± 0.8</w:t>
            </w:r>
          </w:p>
        </w:tc>
        <w:tc>
          <w:tcPr>
            <w:tcW w:w="1047" w:type="pct"/>
            <w:tcBorders>
              <w:bottom w:val="single" w:sz="4" w:space="0" w:color="auto"/>
            </w:tcBorders>
            <w:vAlign w:val="center"/>
            <w:hideMark/>
          </w:tcPr>
          <w:p>
            <w:pPr>
              <w:rPr>
                <w:rFonts w:ascii="Times New Roman" w:hAnsi="Times New Roman" w:cs="Times New Roman"/>
                <w:sz w:val="22"/>
              </w:rPr>
            </w:pPr>
            <w:r>
              <w:rPr>
                <w:rFonts w:ascii="Times New Roman" w:hAnsi="Times New Roman" w:cs="Times New Roman"/>
                <w:sz w:val="22"/>
              </w:rPr>
              <w:t>2.0 ± 0.7</w:t>
            </w:r>
          </w:p>
        </w:tc>
        <w:tc>
          <w:tcPr>
            <w:tcW w:w="1303" w:type="pct"/>
            <w:tcBorders>
              <w:bottom w:val="single" w:sz="4" w:space="0" w:color="auto"/>
            </w:tcBorders>
            <w:vAlign w:val="center"/>
            <w:hideMark/>
          </w:tcPr>
          <w:p>
            <w:pPr>
              <w:rPr>
                <w:rFonts w:ascii="Times New Roman" w:hAnsi="Times New Roman" w:cs="Times New Roman"/>
                <w:sz w:val="22"/>
              </w:rPr>
            </w:pPr>
            <w:r>
              <w:rPr>
                <w:rFonts w:ascii="Times New Roman" w:hAnsi="Times New Roman" w:cs="Times New Roman"/>
                <w:i/>
                <w:iCs/>
                <w:sz w:val="22"/>
              </w:rPr>
              <w:t xml:space="preserve">T </w:t>
            </w:r>
            <w:r>
              <w:rPr>
                <w:rFonts w:ascii="Times New Roman" w:hAnsi="Times New Roman" w:cs="Times New Roman"/>
                <w:sz w:val="22"/>
              </w:rPr>
              <w:t xml:space="preserve">= 2.41, </w:t>
            </w:r>
            <w:r>
              <w:rPr>
                <w:rFonts w:ascii="Times New Roman" w:hAnsi="Times New Roman" w:cs="Times New Roman"/>
                <w:b/>
                <w:bCs/>
                <w:i/>
                <w:iCs/>
                <w:sz w:val="22"/>
              </w:rPr>
              <w:t>P</w:t>
            </w:r>
            <w:r>
              <w:rPr>
                <w:rFonts w:ascii="Times New Roman" w:hAnsi="Times New Roman" w:cs="Times New Roman"/>
                <w:b/>
                <w:bCs/>
                <w:i/>
                <w:iCs/>
                <w:sz w:val="22"/>
              </w:rPr>
              <w:t xml:space="preserve"> </w:t>
            </w:r>
            <w:r>
              <w:rPr>
                <w:rFonts w:ascii="Times New Roman" w:hAnsi="Times New Roman" w:cs="Times New Roman"/>
                <w:b/>
                <w:bCs/>
                <w:sz w:val="22"/>
              </w:rPr>
              <w:t>= 0.017</w:t>
            </w:r>
            <w:r>
              <w:rPr>
                <w:rFonts w:ascii="Times New Roman" w:hAnsi="Times New Roman" w:cs="Times New Roman"/>
                <w:sz w:val="22"/>
              </w:rPr>
              <w:t>*</w:t>
            </w:r>
          </w:p>
        </w:tc>
      </w:tr>
    </w:tbl>
    <w:p>
      <w:pPr>
        <w:rPr>
          <w:rFonts w:ascii="Times New Roman" w:hAnsi="Times New Roman" w:cs="Times New Roman" w:hint="eastAsia"/>
          <w:sz w:val="22"/>
        </w:rPr>
      </w:pPr>
    </w:p>
    <w:p>
      <w:pPr>
        <w:rPr>
          <w:rFonts w:ascii="Times New Roman" w:hAnsi="Times New Roman" w:cs="Times New Roman" w:hint="eastAsia"/>
          <w:sz w:val="22"/>
        </w:rPr>
      </w:pPr>
      <w:r>
        <w:rPr>
          <w:rFonts w:ascii="Times New Roman" w:hAnsi="Times New Roman" w:cs="Times New Roman"/>
          <w:b/>
          <w:sz w:val="22"/>
        </w:rPr>
        <w:t>Notes:</w:t>
      </w:r>
      <w:r>
        <w:rPr>
          <w:rFonts w:ascii="Times New Roman" w:hAnsi="Times New Roman" w:cs="Times New Roman"/>
          <w:sz w:val="22"/>
        </w:rPr>
        <w:t xml:space="preserve"> Data are </w:t>
      </w:r>
      <w:r>
        <w:rPr>
          <w:rFonts w:ascii="Times New Roman" w:hAnsi="Times New Roman" w:cs="Times New Roman"/>
          <w:sz w:val="22"/>
        </w:rPr>
        <w:t xml:space="preserve">mean ± standard deviation values. </w:t>
      </w:r>
      <w:r>
        <w:rPr>
          <w:rFonts w:ascii="Times New Roman" w:hAnsi="Times New Roman" w:cs="Times New Roman"/>
          <w:sz w:val="28"/>
          <w:vertAlign w:val="superscript"/>
        </w:rPr>
        <w:t>a</w:t>
      </w:r>
      <w:r>
        <w:rPr>
          <w:rFonts w:ascii="Times New Roman" w:hAnsi="Times New Roman" w:cs="Times New Roman"/>
          <w:sz w:val="22"/>
        </w:rPr>
        <w:t>Independent</w:t>
      </w:r>
      <w:r>
        <w:rPr>
          <w:rFonts w:ascii="Times New Roman" w:hAnsi="Times New Roman" w:cs="Times New Roman"/>
          <w:sz w:val="22"/>
        </w:rPr>
        <w:t xml:space="preserve"> </w:t>
      </w:r>
      <w:r>
        <w:rPr>
          <w:rFonts w:ascii="Times New Roman" w:hAnsi="Times New Roman" w:cs="Times New Roman"/>
          <w:i/>
          <w:sz w:val="22"/>
        </w:rPr>
        <w:t>t</w:t>
      </w:r>
      <w:r>
        <w:rPr>
          <w:rFonts w:ascii="Times New Roman" w:hAnsi="Times New Roman" w:cs="Times New Roman"/>
          <w:sz w:val="22"/>
        </w:rPr>
        <w:t xml:space="preserve">-test. Bold indicates </w:t>
      </w:r>
      <w:r>
        <w:rPr>
          <w:rFonts w:ascii="Times New Roman" w:hAnsi="Times New Roman" w:cs="Times New Roman"/>
          <w:i/>
          <w:iCs/>
          <w:sz w:val="22"/>
        </w:rPr>
        <w:t>P</w:t>
      </w:r>
      <w:r>
        <w:rPr>
          <w:rFonts w:ascii="Times New Roman" w:hAnsi="Times New Roman" w:cs="Times New Roman"/>
          <w:sz w:val="22"/>
        </w:rPr>
        <w:t xml:space="preserve"> &lt; 0.1. *</w:t>
      </w:r>
      <w:r>
        <w:rPr>
          <w:rFonts w:ascii="Times New Roman" w:eastAsiaTheme="minorHAnsi" w:hAnsi="Times New Roman" w:cs="Times New Roman"/>
          <w:i/>
          <w:sz w:val="22"/>
          <w:kern w:val="0"/>
        </w:rPr>
        <w:t>P</w:t>
      </w:r>
      <w:r>
        <w:rPr>
          <w:rFonts w:ascii="Times New Roman" w:hAnsi="Times New Roman" w:cs="Times New Roman"/>
          <w:sz w:val="22"/>
        </w:rPr>
        <w:t> &lt; 0.05</w:t>
      </w:r>
      <w:r>
        <w:rPr>
          <w:rFonts w:ascii="Times New Roman" w:hAnsi="Times New Roman" w:cs="Times New Roman"/>
          <w:sz w:val="22"/>
        </w:rPr>
        <w:t>.</w:t>
      </w:r>
    </w:p>
    <w:p>
      <w:pPr>
        <w:rPr>
          <w:rFonts w:ascii="Times New Roman" w:hAnsi="Times New Roman" w:cs="Times New Roman"/>
          <w:sz w:val="22"/>
        </w:rPr>
      </w:pPr>
      <w:r>
        <w:rPr>
          <w:rFonts w:ascii="Times New Roman" w:hAnsi="Times New Roman" w:cs="Times New Roman"/>
          <w:b/>
          <w:sz w:val="22"/>
        </w:rPr>
        <w:t>Abbreviations:</w:t>
      </w:r>
      <w:r>
        <w:rPr>
          <w:rFonts w:ascii="Times New Roman" w:hAnsi="Times New Roman" w:cs="Times New Roman"/>
          <w:sz w:val="22"/>
        </w:rPr>
        <w:t xml:space="preserve"> </w:t>
      </w:r>
      <w:r>
        <w:rPr>
          <w:rFonts w:ascii="Times New Roman" w:hAnsi="Times New Roman" w:cs="Times New Roman"/>
          <w:iCs/>
          <w:sz w:val="22"/>
        </w:rPr>
        <w:t>BDI, Beck Depression Inventory; CPAP, continuous positive airway pressure; ESS, Epworth Sleepiness Scale; PSQI, Pittsburgh Sleep Quality Inventory.</w:t>
      </w:r>
      <w:r>
        <w:rPr>
          <w:rFonts w:ascii="Times New Roman" w:hAnsi="Times New Roman" w:cs="Times New Roman"/>
          <w:sz w:val="22"/>
        </w:rPr>
        <w:t xml:space="preserve"> </w:t>
      </w:r>
    </w:p>
    <w:p>
      <w:pPr>
        <w:rPr>
          <w:rFonts w:ascii="Times New Roman" w:hAnsi="Times New Roman" w:cs="Times New Roman"/>
          <w:b/>
          <w:bCs/>
          <w:sz w:val="22"/>
        </w:rPr>
      </w:pPr>
      <w:r>
        <w:rPr>
          <w:rFonts w:ascii="Times New Roman" w:hAnsi="Times New Roman" w:cs="Times New Roman"/>
          <w:b/>
          <w:bCs/>
          <w:sz w:val="22"/>
        </w:rPr>
        <w:br w:type="page"/>
      </w:r>
    </w:p>
    <w:p>
      <w:pPr>
        <w:rPr>
          <w:rFonts w:ascii="Times New Roman" w:hAnsi="Times New Roman" w:cs="Times New Roman"/>
          <w:sz w:val="22"/>
        </w:rPr>
      </w:pPr>
      <w:r>
        <w:rPr>
          <w:rFonts w:ascii="Times New Roman" w:hAnsi="Times New Roman" w:cs="Times New Roman"/>
          <w:b/>
          <w:bCs/>
          <w:sz w:val="22"/>
        </w:rPr>
        <w:t>Table 3</w:t>
      </w:r>
      <w:r>
        <w:rPr>
          <w:rFonts w:ascii="Times New Roman" w:hAnsi="Times New Roman" w:cs="Times New Roman"/>
          <w:sz w:val="22"/>
        </w:rPr>
        <w:t xml:space="preserve"> Comparison of the polysomnographic data between the </w:t>
      </w:r>
      <w:r>
        <w:rPr>
          <w:rFonts w:ascii="Times New Roman" w:hAnsi="Times New Roman" w:cs="Times New Roman"/>
          <w:bCs/>
          <w:sz w:val="22"/>
        </w:rPr>
        <w:t>compliant and non-compliant with CPAP groups</w:t>
      </w:r>
    </w:p>
    <w:tbl>
      <w:tblPr>
        <w:tblW w:w="8640" w:type="dxa"/>
        <w:tblLook w:val="04A0" w:firstRow="1" w:lastRow="0" w:firstColumn="1" w:lastColumn="0" w:noHBand="0" w:noVBand="1"/>
        <w:tblLayout w:type="fixed"/>
      </w:tblPr>
      <w:tblGrid>
        <w:gridCol w:w="255"/>
        <w:gridCol w:w="2438"/>
        <w:gridCol w:w="1982"/>
        <w:gridCol w:w="1530"/>
        <w:gridCol w:w="2435"/>
      </w:tblGrid>
      <w:tr>
        <w:trPr>
          <w:trHeight w:val="386" w:hRule="atLeast"/>
        </w:trPr>
        <w:tc>
          <w:tcPr>
            <w:tcW w:w="2693" w:type="dxa"/>
            <w:gridSpan w:val="2"/>
            <w:tcBorders>
              <w:top w:val="single" w:sz="4" w:space="0" w:color="auto"/>
            </w:tcBorders>
            <w:tcMar>
              <w:top w:w="0" w:type="dxa"/>
              <w:left w:w="0" w:type="dxa"/>
              <w:bottom w:w="0" w:type="dxa"/>
              <w:right w:w="0" w:type="dxa"/>
            </w:tcMar>
            <w:vAlign w:val="center"/>
            <w:hideMark/>
          </w:tcPr>
          <w:p>
            <w:pPr>
              <w:rPr>
                <w:rFonts w:ascii="Times New Roman" w:hAnsi="Times New Roman" w:cs="Times New Roman"/>
                <w:b/>
                <w:bCs/>
                <w:sz w:val="22"/>
              </w:rPr>
            </w:pPr>
            <w:r>
              <w:rPr>
                <w:rFonts w:ascii="Times New Roman" w:hAnsi="Times New Roman" w:cs="Times New Roman"/>
                <w:b/>
                <w:bCs/>
                <w:sz w:val="22"/>
              </w:rPr>
              <w:t>Variables</w:t>
            </w:r>
          </w:p>
        </w:tc>
        <w:tc>
          <w:tcPr>
            <w:tcW w:w="1982" w:type="dxa"/>
            <w:tcBorders>
              <w:top w:val="single" w:sz="4" w:space="0" w:color="auto"/>
            </w:tcBorders>
            <w:tcMar>
              <w:top w:w="0" w:type="dxa"/>
              <w:left w:w="0" w:type="dxa"/>
              <w:bottom w:w="0" w:type="dxa"/>
              <w:right w:w="0" w:type="dxa"/>
            </w:tcMar>
            <w:hideMark/>
          </w:tcPr>
          <w:p>
            <w:pPr>
              <w:rPr>
                <w:rFonts w:ascii="Times New Roman" w:hAnsi="Times New Roman" w:cs="Times New Roman"/>
                <w:b/>
                <w:bCs/>
                <w:sz w:val="22"/>
              </w:rPr>
            </w:pPr>
            <w:r>
              <w:rPr>
                <w:rFonts w:ascii="Times New Roman" w:hAnsi="Times New Roman" w:cs="Times New Roman"/>
                <w:b/>
                <w:bCs/>
                <w:sz w:val="22"/>
              </w:rPr>
              <w:t>Compliant</w:t>
            </w:r>
          </w:p>
          <w:p>
            <w:pPr>
              <w:rPr>
                <w:rFonts w:ascii="Times New Roman" w:hAnsi="Times New Roman" w:cs="Times New Roman"/>
                <w:b/>
                <w:bCs/>
                <w:sz w:val="22"/>
              </w:rPr>
            </w:pPr>
            <w:r>
              <w:rPr>
                <w:rFonts w:ascii="Times New Roman" w:hAnsi="Times New Roman" w:cs="Times New Roman"/>
                <w:b/>
                <w:bCs/>
                <w:sz w:val="22"/>
              </w:rPr>
              <w:t>(n = 80)</w:t>
            </w:r>
          </w:p>
        </w:tc>
        <w:tc>
          <w:tcPr>
            <w:tcW w:w="1530" w:type="dxa"/>
            <w:tcBorders>
              <w:top w:val="single" w:sz="4" w:space="0" w:color="auto"/>
            </w:tcBorders>
            <w:tcMar>
              <w:top w:w="0" w:type="dxa"/>
              <w:left w:w="0" w:type="dxa"/>
              <w:bottom w:w="0" w:type="dxa"/>
              <w:right w:w="0" w:type="dxa"/>
            </w:tcMar>
            <w:hideMark/>
          </w:tcPr>
          <w:p>
            <w:pPr>
              <w:rPr>
                <w:rFonts w:ascii="Times New Roman" w:hAnsi="Times New Roman" w:cs="Times New Roman"/>
                <w:b/>
                <w:bCs/>
                <w:sz w:val="22"/>
              </w:rPr>
            </w:pPr>
            <w:r>
              <w:rPr>
                <w:rFonts w:ascii="Times New Roman" w:hAnsi="Times New Roman" w:cs="Times New Roman"/>
                <w:b/>
                <w:bCs/>
                <w:sz w:val="22"/>
              </w:rPr>
              <w:t>Non-compliant (n = 108)</w:t>
            </w:r>
          </w:p>
        </w:tc>
        <w:tc>
          <w:tcPr>
            <w:tcW w:w="2435" w:type="dxa"/>
            <w:tcBorders>
              <w:top w:val="single" w:sz="4" w:space="0" w:color="auto"/>
            </w:tcBorders>
            <w:tcMar>
              <w:top w:w="0" w:type="dxa"/>
              <w:left w:w="0" w:type="dxa"/>
              <w:bottom w:w="0" w:type="dxa"/>
              <w:right w:w="0" w:type="dxa"/>
            </w:tcMar>
            <w:hideMark/>
          </w:tcPr>
          <w:p>
            <w:pPr>
              <w:rPr>
                <w:rFonts w:ascii="Times New Roman" w:hAnsi="Times New Roman" w:cs="Times New Roman"/>
                <w:b/>
                <w:bCs/>
                <w:sz w:val="22"/>
              </w:rPr>
            </w:pPr>
            <w:r>
              <w:rPr>
                <w:rFonts w:ascii="Times New Roman" w:hAnsi="Times New Roman" w:cs="Times New Roman"/>
                <w:b/>
                <w:bCs/>
                <w:sz w:val="22"/>
              </w:rPr>
              <w:t>Statistics</w:t>
            </w:r>
            <w:r>
              <w:rPr>
                <w:rFonts w:ascii="Times New Roman" w:hAnsi="Times New Roman" w:cs="Times New Roman"/>
                <w:sz w:val="28"/>
                <w:vertAlign w:val="superscript"/>
              </w:rPr>
              <w:t>a</w:t>
            </w:r>
          </w:p>
        </w:tc>
      </w:tr>
      <w:tr>
        <w:trPr>
          <w:trHeight w:val="323" w:hRule="atLeast"/>
        </w:trPr>
        <w:tc>
          <w:tcPr>
            <w:tcW w:w="2693" w:type="dxa"/>
            <w:gridSpan w:val="2"/>
            <w:tcMar>
              <w:top w:w="0" w:type="dxa"/>
              <w:left w:w="0" w:type="dxa"/>
              <w:bottom w:w="0" w:type="dxa"/>
              <w:right w:w="0" w:type="dxa"/>
            </w:tcMar>
            <w:vAlign w:val="center"/>
          </w:tcPr>
          <w:p>
            <w:pPr>
              <w:rPr>
                <w:rFonts w:ascii="Times New Roman" w:hAnsi="Times New Roman" w:cs="Times New Roman"/>
                <w:sz w:val="22"/>
              </w:rPr>
            </w:pPr>
            <w:r>
              <w:rPr>
                <w:rFonts w:ascii="Times New Roman" w:hAnsi="Times New Roman" w:cs="Times New Roman"/>
                <w:color w:val="0070C0"/>
                <w:szCs w:val="20"/>
                <w:highlight w:val="yellow"/>
              </w:rPr>
              <w:t xml:space="preserve">CPAP </w:t>
            </w:r>
            <w:r>
              <w:rPr>
                <w:rFonts w:ascii="Times New Roman" w:hAnsi="Times New Roman" w:cs="Times New Roman"/>
                <w:color w:val="0070C0"/>
                <w:szCs w:val="20"/>
                <w:highlight w:val="yellow"/>
              </w:rPr>
              <w:t>pressure, cmH2O</w:t>
            </w:r>
          </w:p>
        </w:tc>
        <w:tc>
          <w:tcPr>
            <w:tcW w:w="1982" w:type="dxa"/>
            <w:tcMar>
              <w:top w:w="0" w:type="dxa"/>
              <w:left w:w="0" w:type="dxa"/>
              <w:bottom w:w="0" w:type="dxa"/>
              <w:right w:w="0" w:type="dxa"/>
            </w:tcMar>
            <w:vAlign w:val="center"/>
          </w:tcPr>
          <w:p>
            <w:pPr>
              <w:rPr>
                <w:rFonts w:ascii="Times New Roman" w:hAnsi="Times New Roman" w:cs="Times New Roman"/>
                <w:sz w:val="22"/>
              </w:rPr>
            </w:pPr>
            <w:r>
              <w:rPr>
                <w:rFonts w:ascii="Times New Roman" w:hAnsi="Times New Roman" w:cs="Times New Roman" w:hint="eastAsia"/>
                <w:color w:val="0070C0"/>
                <w:sz w:val="22"/>
                <w:highlight w:val="yellow"/>
              </w:rPr>
              <w:t>8</w:t>
            </w:r>
            <w:r>
              <w:rPr>
                <w:rFonts w:ascii="Times New Roman" w:hAnsi="Times New Roman" w:cs="Times New Roman"/>
                <w:color w:val="0070C0"/>
                <w:sz w:val="22"/>
                <w:highlight w:val="yellow"/>
              </w:rPr>
              <w:t>.6 ± 1.5</w:t>
            </w:r>
          </w:p>
        </w:tc>
        <w:tc>
          <w:tcPr>
            <w:tcW w:w="1530" w:type="dxa"/>
            <w:tcMar>
              <w:top w:w="0" w:type="dxa"/>
              <w:left w:w="0" w:type="dxa"/>
              <w:bottom w:w="0" w:type="dxa"/>
              <w:right w:w="0" w:type="dxa"/>
            </w:tcMar>
            <w:vAlign w:val="center"/>
          </w:tcPr>
          <w:p>
            <w:pPr>
              <w:rPr>
                <w:rFonts w:ascii="Times New Roman" w:hAnsi="Times New Roman" w:cs="Times New Roman"/>
                <w:sz w:val="22"/>
              </w:rPr>
            </w:pPr>
            <w:r>
              <w:rPr>
                <w:rFonts w:ascii="Times New Roman" w:hAnsi="Times New Roman" w:cs="Times New Roman" w:hint="eastAsia"/>
                <w:color w:val="0070C0"/>
                <w:sz w:val="22"/>
                <w:highlight w:val="yellow"/>
              </w:rPr>
              <w:t>8</w:t>
            </w:r>
            <w:r>
              <w:rPr>
                <w:rFonts w:ascii="Times New Roman" w:hAnsi="Times New Roman" w:cs="Times New Roman"/>
                <w:color w:val="0070C0"/>
                <w:sz w:val="22"/>
                <w:highlight w:val="yellow"/>
              </w:rPr>
              <w:t>.9 ± 1.8</w:t>
            </w:r>
          </w:p>
        </w:tc>
        <w:tc>
          <w:tcPr>
            <w:tcW w:w="2435" w:type="dxa"/>
            <w:tcMar>
              <w:top w:w="0" w:type="dxa"/>
              <w:left w:w="0" w:type="dxa"/>
              <w:bottom w:w="0" w:type="dxa"/>
              <w:right w:w="0" w:type="dxa"/>
            </w:tcMar>
            <w:vAlign w:val="center"/>
          </w:tcPr>
          <w:p>
            <w:pPr>
              <w:rPr>
                <w:rFonts w:ascii="Times New Roman" w:hAnsi="Times New Roman" w:cs="Times New Roman"/>
                <w:i/>
                <w:iCs/>
                <w:sz w:val="22"/>
              </w:rPr>
            </w:pPr>
            <w:r>
              <w:rPr>
                <w:rFonts w:ascii="Times New Roman" w:hAnsi="Times New Roman" w:cs="Times New Roman"/>
                <w:i/>
                <w:iCs/>
                <w:color w:val="0070C0"/>
                <w:sz w:val="22"/>
                <w:highlight w:val="yellow"/>
              </w:rPr>
              <w:t xml:space="preserve">t </w:t>
            </w:r>
            <w:r>
              <w:rPr>
                <w:rFonts w:ascii="Times New Roman" w:hAnsi="Times New Roman" w:cs="Times New Roman"/>
                <w:color w:val="0070C0"/>
                <w:sz w:val="22"/>
                <w:highlight w:val="yellow"/>
              </w:rPr>
              <w:t xml:space="preserve">= –1.21, </w:t>
            </w:r>
            <w:r>
              <w:rPr>
                <w:rFonts w:ascii="Times New Roman" w:hAnsi="Times New Roman" w:cs="Times New Roman"/>
                <w:i/>
                <w:iCs/>
                <w:color w:val="0070C0"/>
                <w:sz w:val="22"/>
                <w:highlight w:val="yellow"/>
              </w:rPr>
              <w:t>P</w:t>
            </w:r>
            <w:r>
              <w:rPr>
                <w:rFonts w:ascii="Times New Roman" w:hAnsi="Times New Roman" w:cs="Times New Roman"/>
                <w:i/>
                <w:color w:val="0070C0"/>
                <w:sz w:val="22"/>
                <w:highlight w:val="yellow"/>
              </w:rPr>
              <w:t xml:space="preserve"> </w:t>
            </w:r>
            <w:r>
              <w:rPr>
                <w:rFonts w:ascii="Times New Roman" w:hAnsi="Times New Roman" w:cs="Times New Roman"/>
                <w:color w:val="0070C0"/>
                <w:sz w:val="22"/>
                <w:highlight w:val="yellow"/>
              </w:rPr>
              <w:t>= 0.227</w:t>
            </w:r>
          </w:p>
        </w:tc>
      </w:tr>
      <w:tr>
        <w:trPr>
          <w:trHeight w:val="323" w:hRule="atLeast"/>
        </w:trPr>
        <w:tc>
          <w:tcPr>
            <w:tcW w:w="2693" w:type="dxa"/>
            <w:gridSpan w:val="2"/>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Apnea hypopnea Index</w:t>
            </w:r>
          </w:p>
        </w:tc>
        <w:tc>
          <w:tcPr>
            <w:tcW w:w="1982"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45.2 ± 23.6</w:t>
            </w:r>
          </w:p>
        </w:tc>
        <w:tc>
          <w:tcPr>
            <w:tcW w:w="1530"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47.0 ± 24.5</w:t>
            </w:r>
          </w:p>
        </w:tc>
        <w:tc>
          <w:tcPr>
            <w:tcW w:w="2435"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i/>
                <w:iCs/>
                <w:sz w:val="22"/>
              </w:rPr>
              <w:t xml:space="preserve">t </w:t>
            </w:r>
            <w:r>
              <w:rPr>
                <w:rFonts w:ascii="Times New Roman" w:hAnsi="Times New Roman" w:cs="Times New Roman"/>
                <w:sz w:val="22"/>
              </w:rPr>
              <w:t xml:space="preserve">= 0.53, </w:t>
            </w:r>
            <w:r>
              <w:rPr>
                <w:rFonts w:ascii="Times New Roman" w:eastAsiaTheme="minorHAnsi" w:hAnsi="Times New Roman" w:cs="Times New Roman"/>
                <w:i/>
                <w:sz w:val="22"/>
                <w:kern w:val="0"/>
              </w:rPr>
              <w:t>P</w:t>
            </w:r>
            <w:r>
              <w:rPr>
                <w:rFonts w:ascii="Times New Roman" w:hAnsi="Times New Roman" w:cs="Times New Roman"/>
                <w:i/>
                <w:iCs/>
                <w:sz w:val="22"/>
              </w:rPr>
              <w:t xml:space="preserve"> </w:t>
            </w:r>
            <w:r>
              <w:rPr>
                <w:rFonts w:ascii="Times New Roman" w:hAnsi="Times New Roman" w:cs="Times New Roman"/>
                <w:sz w:val="22"/>
              </w:rPr>
              <w:t>=0.597</w:t>
            </w:r>
          </w:p>
        </w:tc>
      </w:tr>
      <w:tr>
        <w:trPr>
          <w:trHeight w:val="323" w:hRule="atLeast"/>
        </w:trPr>
        <w:tc>
          <w:tcPr>
            <w:tcW w:w="2693" w:type="dxa"/>
            <w:gridSpan w:val="2"/>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O</w:t>
            </w:r>
            <w:r>
              <w:rPr>
                <w:rFonts w:ascii="Times New Roman" w:hAnsi="Times New Roman" w:cs="Times New Roman"/>
                <w:sz w:val="22"/>
                <w:vertAlign w:val="subscript"/>
              </w:rPr>
              <w:t>2</w:t>
            </w:r>
            <w:r>
              <w:rPr>
                <w:rFonts w:ascii="Times New Roman" w:hAnsi="Times New Roman" w:cs="Times New Roman"/>
                <w:sz w:val="22"/>
              </w:rPr>
              <w:t xml:space="preserve"> saturation nadir</w:t>
            </w:r>
          </w:p>
        </w:tc>
        <w:tc>
          <w:tcPr>
            <w:tcW w:w="1982"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74.9 ± 13.0</w:t>
            </w:r>
          </w:p>
        </w:tc>
        <w:tc>
          <w:tcPr>
            <w:tcW w:w="1530"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76.8 ± 10.6</w:t>
            </w:r>
          </w:p>
        </w:tc>
        <w:tc>
          <w:tcPr>
            <w:tcW w:w="2435"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i/>
                <w:iCs/>
                <w:sz w:val="22"/>
              </w:rPr>
              <w:t xml:space="preserve">t </w:t>
            </w:r>
            <w:r>
              <w:rPr>
                <w:rFonts w:ascii="Times New Roman" w:hAnsi="Times New Roman" w:cs="Times New Roman"/>
                <w:sz w:val="22"/>
              </w:rPr>
              <w:t xml:space="preserve">= 1.11, </w:t>
            </w:r>
            <w:r>
              <w:rPr>
                <w:rFonts w:ascii="Times New Roman" w:eastAsiaTheme="minorHAnsi" w:hAnsi="Times New Roman" w:cs="Times New Roman"/>
                <w:i/>
                <w:sz w:val="22"/>
                <w:kern w:val="0"/>
              </w:rPr>
              <w:t>P</w:t>
            </w:r>
            <w:r>
              <w:rPr>
                <w:rFonts w:ascii="Times New Roman" w:hAnsi="Times New Roman" w:cs="Times New Roman"/>
                <w:i/>
                <w:iCs/>
                <w:sz w:val="22"/>
              </w:rPr>
              <w:t xml:space="preserve"> </w:t>
            </w:r>
            <w:r>
              <w:rPr>
                <w:rFonts w:ascii="Times New Roman" w:hAnsi="Times New Roman" w:cs="Times New Roman"/>
                <w:sz w:val="22"/>
              </w:rPr>
              <w:t>= 0.267</w:t>
            </w:r>
          </w:p>
        </w:tc>
      </w:tr>
      <w:tr>
        <w:trPr>
          <w:trHeight w:val="323" w:hRule="atLeast"/>
        </w:trPr>
        <w:tc>
          <w:tcPr>
            <w:tcW w:w="2693" w:type="dxa"/>
            <w:gridSpan w:val="2"/>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Total sleep time (min.)</w:t>
            </w:r>
          </w:p>
        </w:tc>
        <w:tc>
          <w:tcPr>
            <w:tcW w:w="1982"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339.4 ± 338.8</w:t>
            </w:r>
          </w:p>
        </w:tc>
        <w:tc>
          <w:tcPr>
            <w:tcW w:w="1530"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338.8 ± 58.1</w:t>
            </w:r>
          </w:p>
        </w:tc>
        <w:tc>
          <w:tcPr>
            <w:tcW w:w="2435"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i/>
                <w:iCs/>
                <w:sz w:val="22"/>
              </w:rPr>
              <w:t xml:space="preserve">t </w:t>
            </w:r>
            <w:r>
              <w:rPr>
                <w:rFonts w:ascii="Times New Roman" w:hAnsi="Times New Roman" w:cs="Times New Roman"/>
                <w:sz w:val="22"/>
              </w:rPr>
              <w:t xml:space="preserve">= –0.07, </w:t>
            </w:r>
            <w:r>
              <w:rPr>
                <w:rFonts w:ascii="Times New Roman" w:eastAsiaTheme="minorHAnsi" w:hAnsi="Times New Roman" w:cs="Times New Roman"/>
                <w:i/>
                <w:sz w:val="22"/>
                <w:kern w:val="0"/>
              </w:rPr>
              <w:t>P</w:t>
            </w:r>
            <w:r>
              <w:rPr>
                <w:rFonts w:ascii="Times New Roman" w:hAnsi="Times New Roman" w:cs="Times New Roman"/>
                <w:i/>
                <w:iCs/>
                <w:sz w:val="22"/>
              </w:rPr>
              <w:t xml:space="preserve"> </w:t>
            </w:r>
            <w:r>
              <w:rPr>
                <w:rFonts w:ascii="Times New Roman" w:hAnsi="Times New Roman" w:cs="Times New Roman"/>
                <w:sz w:val="22"/>
              </w:rPr>
              <w:t>= 0.946</w:t>
            </w:r>
          </w:p>
        </w:tc>
      </w:tr>
      <w:tr>
        <w:trPr>
          <w:trHeight w:val="323" w:hRule="atLeast"/>
        </w:trPr>
        <w:tc>
          <w:tcPr>
            <w:tcW w:w="2693" w:type="dxa"/>
            <w:gridSpan w:val="2"/>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Sleep efficiency (%)</w:t>
            </w:r>
          </w:p>
        </w:tc>
        <w:tc>
          <w:tcPr>
            <w:tcW w:w="1982"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82.8 ± 11.8</w:t>
            </w:r>
          </w:p>
        </w:tc>
        <w:tc>
          <w:tcPr>
            <w:tcW w:w="1530"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83.0 ± 11.9</w:t>
            </w:r>
          </w:p>
        </w:tc>
        <w:tc>
          <w:tcPr>
            <w:tcW w:w="2435"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i/>
                <w:iCs/>
                <w:sz w:val="22"/>
              </w:rPr>
              <w:t xml:space="preserve">t </w:t>
            </w:r>
            <w:r>
              <w:rPr>
                <w:rFonts w:ascii="Times New Roman" w:hAnsi="Times New Roman" w:cs="Times New Roman"/>
                <w:sz w:val="22"/>
              </w:rPr>
              <w:t xml:space="preserve">= 0.15, </w:t>
            </w:r>
            <w:r>
              <w:rPr>
                <w:rFonts w:ascii="Times New Roman" w:eastAsiaTheme="minorHAnsi" w:hAnsi="Times New Roman" w:cs="Times New Roman"/>
                <w:i/>
                <w:sz w:val="22"/>
                <w:kern w:val="0"/>
              </w:rPr>
              <w:t>P</w:t>
            </w:r>
            <w:r>
              <w:rPr>
                <w:rFonts w:ascii="Times New Roman" w:hAnsi="Times New Roman" w:cs="Times New Roman"/>
                <w:i/>
                <w:iCs/>
                <w:sz w:val="22"/>
              </w:rPr>
              <w:t xml:space="preserve"> </w:t>
            </w:r>
            <w:r>
              <w:rPr>
                <w:rFonts w:ascii="Times New Roman" w:hAnsi="Times New Roman" w:cs="Times New Roman"/>
                <w:sz w:val="22"/>
              </w:rPr>
              <w:t>= 0.884</w:t>
            </w:r>
          </w:p>
        </w:tc>
      </w:tr>
      <w:tr>
        <w:trPr>
          <w:trHeight w:val="323" w:hRule="atLeast"/>
        </w:trPr>
        <w:tc>
          <w:tcPr>
            <w:tcW w:w="2693" w:type="dxa"/>
            <w:gridSpan w:val="2"/>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Wake after sleep onset (%)</w:t>
            </w:r>
          </w:p>
        </w:tc>
        <w:tc>
          <w:tcPr>
            <w:tcW w:w="1982"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15.4 ± 11.5</w:t>
            </w:r>
          </w:p>
        </w:tc>
        <w:tc>
          <w:tcPr>
            <w:tcW w:w="1530"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14.5 ± 11.0</w:t>
            </w:r>
          </w:p>
        </w:tc>
        <w:tc>
          <w:tcPr>
            <w:tcW w:w="2435"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i/>
                <w:iCs/>
                <w:sz w:val="22"/>
              </w:rPr>
              <w:t xml:space="preserve">t </w:t>
            </w:r>
            <w:r>
              <w:rPr>
                <w:rFonts w:ascii="Times New Roman" w:hAnsi="Times New Roman" w:cs="Times New Roman"/>
                <w:sz w:val="22"/>
              </w:rPr>
              <w:t xml:space="preserve">= –0.55, </w:t>
            </w:r>
            <w:r>
              <w:rPr>
                <w:rFonts w:ascii="Times New Roman" w:eastAsiaTheme="minorHAnsi" w:hAnsi="Times New Roman" w:cs="Times New Roman"/>
                <w:i/>
                <w:sz w:val="22"/>
                <w:kern w:val="0"/>
              </w:rPr>
              <w:t>P</w:t>
            </w:r>
            <w:r>
              <w:rPr>
                <w:rFonts w:ascii="Times New Roman" w:hAnsi="Times New Roman" w:cs="Times New Roman"/>
                <w:i/>
                <w:iCs/>
                <w:sz w:val="22"/>
              </w:rPr>
              <w:t xml:space="preserve"> </w:t>
            </w:r>
            <w:r>
              <w:rPr>
                <w:rFonts w:ascii="Times New Roman" w:hAnsi="Times New Roman" w:cs="Times New Roman"/>
                <w:sz w:val="22"/>
              </w:rPr>
              <w:t>= 0.585</w:t>
            </w:r>
          </w:p>
        </w:tc>
      </w:tr>
      <w:tr>
        <w:trPr>
          <w:trHeight w:val="323" w:hRule="atLeast"/>
        </w:trPr>
        <w:tc>
          <w:tcPr>
            <w:tcW w:w="2693" w:type="dxa"/>
            <w:gridSpan w:val="2"/>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Sleep onset latency</w:t>
            </w:r>
          </w:p>
        </w:tc>
        <w:tc>
          <w:tcPr>
            <w:tcW w:w="1982"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8.9 ± 9.8</w:t>
            </w:r>
          </w:p>
        </w:tc>
        <w:tc>
          <w:tcPr>
            <w:tcW w:w="1530"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11.1 ± 19.9</w:t>
            </w:r>
          </w:p>
        </w:tc>
        <w:tc>
          <w:tcPr>
            <w:tcW w:w="2435"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i/>
                <w:iCs/>
                <w:sz w:val="22"/>
              </w:rPr>
              <w:t xml:space="preserve">t </w:t>
            </w:r>
            <w:r>
              <w:rPr>
                <w:rFonts w:ascii="Times New Roman" w:hAnsi="Times New Roman" w:cs="Times New Roman"/>
                <w:sz w:val="22"/>
              </w:rPr>
              <w:t xml:space="preserve">= 0.88, </w:t>
            </w:r>
            <w:r>
              <w:rPr>
                <w:rFonts w:ascii="Times New Roman" w:eastAsiaTheme="minorHAnsi" w:hAnsi="Times New Roman" w:cs="Times New Roman"/>
                <w:i/>
                <w:sz w:val="22"/>
                <w:kern w:val="0"/>
              </w:rPr>
              <w:t>P</w:t>
            </w:r>
            <w:r>
              <w:rPr>
                <w:rFonts w:ascii="Times New Roman" w:hAnsi="Times New Roman" w:cs="Times New Roman"/>
                <w:i/>
                <w:iCs/>
                <w:sz w:val="22"/>
              </w:rPr>
              <w:t xml:space="preserve"> </w:t>
            </w:r>
            <w:r>
              <w:rPr>
                <w:rFonts w:ascii="Times New Roman" w:hAnsi="Times New Roman" w:cs="Times New Roman"/>
                <w:sz w:val="22"/>
              </w:rPr>
              <w:t>= 0.380</w:t>
            </w:r>
          </w:p>
        </w:tc>
      </w:tr>
      <w:tr>
        <w:trPr>
          <w:trHeight w:val="323" w:hRule="atLeast"/>
        </w:trPr>
        <w:tc>
          <w:tcPr>
            <w:tcW w:w="2693" w:type="dxa"/>
            <w:gridSpan w:val="2"/>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REM sleep latency</w:t>
            </w:r>
          </w:p>
        </w:tc>
        <w:tc>
          <w:tcPr>
            <w:tcW w:w="1982"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138.5 ± 89.6</w:t>
            </w:r>
          </w:p>
        </w:tc>
        <w:tc>
          <w:tcPr>
            <w:tcW w:w="1530"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146.6 ± 86.2</w:t>
            </w:r>
          </w:p>
        </w:tc>
        <w:tc>
          <w:tcPr>
            <w:tcW w:w="2435"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i/>
                <w:iCs/>
                <w:sz w:val="22"/>
              </w:rPr>
              <w:t xml:space="preserve">t </w:t>
            </w:r>
            <w:r>
              <w:rPr>
                <w:rFonts w:ascii="Times New Roman" w:hAnsi="Times New Roman" w:cs="Times New Roman"/>
                <w:sz w:val="22"/>
              </w:rPr>
              <w:t xml:space="preserve">= 0.62, </w:t>
            </w:r>
            <w:r>
              <w:rPr>
                <w:rFonts w:ascii="Times New Roman" w:eastAsiaTheme="minorHAnsi" w:hAnsi="Times New Roman" w:cs="Times New Roman"/>
                <w:i/>
                <w:sz w:val="22"/>
                <w:kern w:val="0"/>
              </w:rPr>
              <w:t>P</w:t>
            </w:r>
            <w:r>
              <w:rPr>
                <w:rFonts w:ascii="Times New Roman" w:hAnsi="Times New Roman" w:cs="Times New Roman"/>
                <w:i/>
                <w:iCs/>
                <w:sz w:val="22"/>
              </w:rPr>
              <w:t xml:space="preserve"> </w:t>
            </w:r>
            <w:r>
              <w:rPr>
                <w:rFonts w:ascii="Times New Roman" w:hAnsi="Times New Roman" w:cs="Times New Roman"/>
                <w:sz w:val="22"/>
              </w:rPr>
              <w:t>= 0.533</w:t>
            </w:r>
          </w:p>
        </w:tc>
      </w:tr>
      <w:tr>
        <w:trPr>
          <w:trHeight w:val="323" w:hRule="atLeast"/>
        </w:trPr>
        <w:tc>
          <w:tcPr>
            <w:tcW w:w="2693" w:type="dxa"/>
            <w:gridSpan w:val="2"/>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PLMS (N/h)</w:t>
            </w:r>
          </w:p>
        </w:tc>
        <w:tc>
          <w:tcPr>
            <w:tcW w:w="1982"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3.2 ± 8.5</w:t>
            </w:r>
          </w:p>
        </w:tc>
        <w:tc>
          <w:tcPr>
            <w:tcW w:w="1530"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3.4 ± 10.8</w:t>
            </w:r>
          </w:p>
        </w:tc>
        <w:tc>
          <w:tcPr>
            <w:tcW w:w="2435"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i/>
                <w:iCs/>
                <w:sz w:val="22"/>
              </w:rPr>
              <w:t xml:space="preserve">t </w:t>
            </w:r>
            <w:r>
              <w:rPr>
                <w:rFonts w:ascii="Times New Roman" w:hAnsi="Times New Roman" w:cs="Times New Roman"/>
                <w:sz w:val="22"/>
              </w:rPr>
              <w:t xml:space="preserve">= 0.11, </w:t>
            </w:r>
            <w:r>
              <w:rPr>
                <w:rFonts w:ascii="Times New Roman" w:eastAsiaTheme="minorHAnsi" w:hAnsi="Times New Roman" w:cs="Times New Roman"/>
                <w:i/>
                <w:sz w:val="22"/>
                <w:kern w:val="0"/>
              </w:rPr>
              <w:t>P</w:t>
            </w:r>
            <w:r>
              <w:rPr>
                <w:rFonts w:ascii="Times New Roman" w:hAnsi="Times New Roman" w:cs="Times New Roman"/>
                <w:i/>
                <w:iCs/>
                <w:sz w:val="22"/>
              </w:rPr>
              <w:t xml:space="preserve"> </w:t>
            </w:r>
            <w:r>
              <w:rPr>
                <w:rFonts w:ascii="Times New Roman" w:hAnsi="Times New Roman" w:cs="Times New Roman"/>
                <w:sz w:val="22"/>
              </w:rPr>
              <w:t>= 0.915</w:t>
            </w:r>
          </w:p>
        </w:tc>
      </w:tr>
      <w:tr>
        <w:trPr>
          <w:trHeight w:val="323" w:hRule="atLeast"/>
        </w:trPr>
        <w:tc>
          <w:tcPr>
            <w:tcW w:w="2693" w:type="dxa"/>
            <w:gridSpan w:val="2"/>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Total Arousal Index (N/h)</w:t>
            </w:r>
          </w:p>
        </w:tc>
        <w:tc>
          <w:tcPr>
            <w:tcW w:w="1982"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41.4 ± 20.7</w:t>
            </w:r>
          </w:p>
        </w:tc>
        <w:tc>
          <w:tcPr>
            <w:tcW w:w="1530"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38.6 ± 21.9</w:t>
            </w:r>
          </w:p>
        </w:tc>
        <w:tc>
          <w:tcPr>
            <w:tcW w:w="2435"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i/>
                <w:iCs/>
                <w:sz w:val="22"/>
              </w:rPr>
              <w:t xml:space="preserve">t </w:t>
            </w:r>
            <w:r>
              <w:rPr>
                <w:rFonts w:ascii="Times New Roman" w:hAnsi="Times New Roman" w:cs="Times New Roman"/>
                <w:sz w:val="22"/>
              </w:rPr>
              <w:t xml:space="preserve">= –0.89, </w:t>
            </w:r>
            <w:r>
              <w:rPr>
                <w:rFonts w:ascii="Times New Roman" w:eastAsiaTheme="minorHAnsi" w:hAnsi="Times New Roman" w:cs="Times New Roman"/>
                <w:i/>
                <w:sz w:val="22"/>
                <w:kern w:val="0"/>
              </w:rPr>
              <w:t>P</w:t>
            </w:r>
            <w:r>
              <w:rPr>
                <w:rFonts w:ascii="Times New Roman" w:hAnsi="Times New Roman" w:cs="Times New Roman"/>
                <w:i/>
                <w:iCs/>
                <w:sz w:val="22"/>
              </w:rPr>
              <w:t xml:space="preserve"> </w:t>
            </w:r>
            <w:r>
              <w:rPr>
                <w:rFonts w:ascii="Times New Roman" w:hAnsi="Times New Roman" w:cs="Times New Roman"/>
                <w:sz w:val="22"/>
              </w:rPr>
              <w:t>= 0.375</w:t>
            </w:r>
          </w:p>
        </w:tc>
      </w:tr>
      <w:tr>
        <w:trPr>
          <w:trHeight w:val="323" w:hRule="atLeast"/>
        </w:trPr>
        <w:tc>
          <w:tcPr>
            <w:tcW w:w="2693" w:type="dxa"/>
            <w:gridSpan w:val="2"/>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 xml:space="preserve">Loudness of snoring </w:t>
            </w:r>
            <w:r>
              <w:rPr>
                <w:rFonts w:ascii="Times New Roman" w:hAnsi="Times New Roman" w:cs="Times New Roman"/>
                <w:sz w:val="22"/>
              </w:rPr>
              <w:t>sound</w:t>
            </w:r>
            <w:r>
              <w:rPr>
                <w:rFonts w:ascii="Times New Roman" w:hAnsi="Times New Roman" w:cs="Times New Roman"/>
                <w:sz w:val="28"/>
                <w:vertAlign w:val="superscript"/>
              </w:rPr>
              <w:t>b</w:t>
            </w:r>
          </w:p>
        </w:tc>
        <w:tc>
          <w:tcPr>
            <w:tcW w:w="1982"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1.8 ± 0.5</w:t>
            </w:r>
          </w:p>
        </w:tc>
        <w:tc>
          <w:tcPr>
            <w:tcW w:w="1530"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1.9 ± 0.5</w:t>
            </w:r>
          </w:p>
        </w:tc>
        <w:tc>
          <w:tcPr>
            <w:tcW w:w="2435"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i/>
                <w:iCs/>
                <w:sz w:val="22"/>
              </w:rPr>
              <w:t xml:space="preserve">t </w:t>
            </w:r>
            <w:r>
              <w:rPr>
                <w:rFonts w:ascii="Times New Roman" w:hAnsi="Times New Roman" w:cs="Times New Roman"/>
                <w:sz w:val="22"/>
              </w:rPr>
              <w:t xml:space="preserve">= 1.61, </w:t>
            </w:r>
            <w:r>
              <w:rPr>
                <w:rFonts w:ascii="Times New Roman" w:eastAsiaTheme="minorHAnsi" w:hAnsi="Times New Roman" w:cs="Times New Roman"/>
                <w:i/>
                <w:sz w:val="22"/>
                <w:kern w:val="0"/>
              </w:rPr>
              <w:t>P</w:t>
            </w:r>
            <w:r>
              <w:rPr>
                <w:rFonts w:ascii="Times New Roman" w:hAnsi="Times New Roman" w:cs="Times New Roman"/>
                <w:i/>
                <w:iCs/>
                <w:sz w:val="22"/>
              </w:rPr>
              <w:t xml:space="preserve"> </w:t>
            </w:r>
            <w:r>
              <w:rPr>
                <w:rFonts w:ascii="Times New Roman" w:hAnsi="Times New Roman" w:cs="Times New Roman"/>
                <w:sz w:val="22"/>
              </w:rPr>
              <w:t>= 0.109</w:t>
            </w:r>
          </w:p>
        </w:tc>
      </w:tr>
      <w:tr>
        <w:trPr>
          <w:trHeight w:val="323" w:hRule="atLeast"/>
        </w:trPr>
        <w:tc>
          <w:tcPr>
            <w:tcW w:w="2693" w:type="dxa"/>
            <w:gridSpan w:val="2"/>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Sleep architecture</w:t>
            </w:r>
          </w:p>
        </w:tc>
        <w:tc>
          <w:tcPr>
            <w:tcW w:w="1982" w:type="dxa"/>
            <w:tcMar>
              <w:top w:w="0" w:type="dxa"/>
              <w:left w:w="0" w:type="dxa"/>
              <w:bottom w:w="0" w:type="dxa"/>
              <w:right w:w="0" w:type="dxa"/>
            </w:tcMar>
            <w:vAlign w:val="center"/>
          </w:tcPr>
          <w:p>
            <w:pPr>
              <w:rPr>
                <w:rFonts w:ascii="Times New Roman" w:hAnsi="Times New Roman" w:cs="Times New Roman"/>
                <w:sz w:val="22"/>
              </w:rPr>
            </w:pPr>
          </w:p>
        </w:tc>
        <w:tc>
          <w:tcPr>
            <w:tcW w:w="1530" w:type="dxa"/>
            <w:tcMar>
              <w:top w:w="0" w:type="dxa"/>
              <w:left w:w="0" w:type="dxa"/>
              <w:bottom w:w="0" w:type="dxa"/>
              <w:right w:w="0" w:type="dxa"/>
            </w:tcMar>
            <w:vAlign w:val="center"/>
          </w:tcPr>
          <w:p>
            <w:pPr>
              <w:rPr>
                <w:rFonts w:ascii="Times New Roman" w:hAnsi="Times New Roman" w:cs="Times New Roman"/>
                <w:sz w:val="22"/>
              </w:rPr>
            </w:pPr>
          </w:p>
        </w:tc>
        <w:tc>
          <w:tcPr>
            <w:tcW w:w="2435" w:type="dxa"/>
            <w:tcMar>
              <w:top w:w="0" w:type="dxa"/>
              <w:left w:w="0" w:type="dxa"/>
              <w:bottom w:w="0" w:type="dxa"/>
              <w:right w:w="0" w:type="dxa"/>
            </w:tcMar>
            <w:vAlign w:val="center"/>
          </w:tcPr>
          <w:p>
            <w:pPr>
              <w:rPr>
                <w:rFonts w:ascii="Times New Roman" w:hAnsi="Times New Roman" w:cs="Times New Roman"/>
                <w:sz w:val="22"/>
              </w:rPr>
            </w:pPr>
          </w:p>
        </w:tc>
      </w:tr>
      <w:tr>
        <w:trPr>
          <w:trHeight w:val="293" w:hRule="atLeast"/>
        </w:trPr>
        <w:tc>
          <w:tcPr>
            <w:tcW w:w="255" w:type="dxa"/>
            <w:tcMar>
              <w:top w:w="0" w:type="dxa"/>
              <w:left w:w="0" w:type="dxa"/>
              <w:bottom w:w="0" w:type="dxa"/>
              <w:right w:w="0" w:type="dxa"/>
            </w:tcMar>
            <w:vAlign w:val="center"/>
            <w:hideMark/>
          </w:tcPr>
          <w:p>
            <w:pPr>
              <w:rPr>
                <w:rFonts w:ascii="Times New Roman" w:hAnsi="Times New Roman" w:cs="Times New Roman"/>
                <w:sz w:val="22"/>
              </w:rPr>
            </w:pPr>
          </w:p>
        </w:tc>
        <w:tc>
          <w:tcPr>
            <w:tcW w:w="2438"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Stage N1 (%)</w:t>
            </w:r>
          </w:p>
        </w:tc>
        <w:tc>
          <w:tcPr>
            <w:tcW w:w="1982"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31.2 ± 16.3</w:t>
            </w:r>
          </w:p>
        </w:tc>
        <w:tc>
          <w:tcPr>
            <w:tcW w:w="1530"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26.6 ± 14.5</w:t>
            </w:r>
          </w:p>
        </w:tc>
        <w:tc>
          <w:tcPr>
            <w:tcW w:w="2435"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i/>
                <w:iCs/>
                <w:sz w:val="22"/>
              </w:rPr>
              <w:t xml:space="preserve">t </w:t>
            </w:r>
            <w:r>
              <w:rPr>
                <w:rFonts w:ascii="Times New Roman" w:hAnsi="Times New Roman" w:cs="Times New Roman"/>
                <w:sz w:val="22"/>
              </w:rPr>
              <w:t xml:space="preserve">= –2.06, </w:t>
            </w:r>
            <w:r>
              <w:rPr>
                <w:rFonts w:ascii="Times New Roman" w:eastAsiaTheme="minorHAnsi" w:hAnsi="Times New Roman" w:cs="Times New Roman"/>
                <w:b/>
                <w:i/>
                <w:sz w:val="22"/>
                <w:kern w:val="0"/>
              </w:rPr>
              <w:t>P</w:t>
            </w:r>
            <w:r>
              <w:rPr>
                <w:rFonts w:ascii="Times New Roman" w:hAnsi="Times New Roman" w:cs="Times New Roman"/>
                <w:b/>
                <w:bCs/>
                <w:i/>
                <w:iCs/>
                <w:sz w:val="22"/>
              </w:rPr>
              <w:t xml:space="preserve"> </w:t>
            </w:r>
            <w:r>
              <w:rPr>
                <w:rFonts w:ascii="Times New Roman" w:hAnsi="Times New Roman" w:cs="Times New Roman"/>
                <w:b/>
                <w:bCs/>
                <w:sz w:val="22"/>
              </w:rPr>
              <w:t>= 0.041</w:t>
            </w:r>
            <w:r>
              <w:rPr>
                <w:rFonts w:ascii="Times New Roman" w:hAnsi="Times New Roman" w:cs="Times New Roman"/>
                <w:sz w:val="22"/>
              </w:rPr>
              <w:t>*</w:t>
            </w:r>
          </w:p>
        </w:tc>
      </w:tr>
      <w:tr>
        <w:trPr>
          <w:trHeight w:val="293" w:hRule="atLeast"/>
        </w:trPr>
        <w:tc>
          <w:tcPr>
            <w:tcW w:w="255" w:type="dxa"/>
            <w:tcMar>
              <w:top w:w="0" w:type="dxa"/>
              <w:left w:w="0" w:type="dxa"/>
              <w:bottom w:w="0" w:type="dxa"/>
              <w:right w:w="0" w:type="dxa"/>
            </w:tcMar>
            <w:vAlign w:val="center"/>
          </w:tcPr>
          <w:p>
            <w:pPr>
              <w:rPr>
                <w:rFonts w:ascii="Times New Roman" w:hAnsi="Times New Roman" w:cs="Times New Roman"/>
                <w:sz w:val="22"/>
              </w:rPr>
            </w:pPr>
          </w:p>
        </w:tc>
        <w:tc>
          <w:tcPr>
            <w:tcW w:w="2438"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Stage N2 (%)</w:t>
            </w:r>
          </w:p>
        </w:tc>
        <w:tc>
          <w:tcPr>
            <w:tcW w:w="1982"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46.9 ± 16.1</w:t>
            </w:r>
          </w:p>
        </w:tc>
        <w:tc>
          <w:tcPr>
            <w:tcW w:w="1530"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45.2 ± 114.9</w:t>
            </w:r>
          </w:p>
        </w:tc>
        <w:tc>
          <w:tcPr>
            <w:tcW w:w="2435"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i/>
                <w:iCs/>
                <w:sz w:val="22"/>
              </w:rPr>
              <w:t xml:space="preserve">t </w:t>
            </w:r>
            <w:r>
              <w:rPr>
                <w:rFonts w:ascii="Times New Roman" w:hAnsi="Times New Roman" w:cs="Times New Roman"/>
                <w:sz w:val="22"/>
              </w:rPr>
              <w:t xml:space="preserve">= –0.75, </w:t>
            </w:r>
            <w:r>
              <w:rPr>
                <w:rFonts w:ascii="Times New Roman" w:eastAsiaTheme="minorHAnsi" w:hAnsi="Times New Roman" w:cs="Times New Roman"/>
                <w:i/>
                <w:sz w:val="22"/>
                <w:kern w:val="0"/>
              </w:rPr>
              <w:t>P</w:t>
            </w:r>
            <w:r>
              <w:rPr>
                <w:rFonts w:ascii="Times New Roman" w:hAnsi="Times New Roman" w:cs="Times New Roman"/>
                <w:i/>
                <w:iCs/>
                <w:sz w:val="22"/>
              </w:rPr>
              <w:t xml:space="preserve"> </w:t>
            </w:r>
            <w:r>
              <w:rPr>
                <w:rFonts w:ascii="Times New Roman" w:hAnsi="Times New Roman" w:cs="Times New Roman"/>
                <w:sz w:val="22"/>
              </w:rPr>
              <w:t>= 0.455</w:t>
            </w:r>
          </w:p>
        </w:tc>
      </w:tr>
      <w:tr>
        <w:trPr>
          <w:trHeight w:val="293" w:hRule="atLeast"/>
        </w:trPr>
        <w:tc>
          <w:tcPr>
            <w:tcW w:w="255" w:type="dxa"/>
            <w:tcMar>
              <w:top w:w="0" w:type="dxa"/>
              <w:left w:w="0" w:type="dxa"/>
              <w:bottom w:w="0" w:type="dxa"/>
              <w:right w:w="0" w:type="dxa"/>
            </w:tcMar>
            <w:vAlign w:val="center"/>
            <w:hideMark/>
          </w:tcPr>
          <w:p>
            <w:pPr>
              <w:rPr>
                <w:rFonts w:ascii="Times New Roman" w:hAnsi="Times New Roman" w:cs="Times New Roman"/>
                <w:sz w:val="22"/>
              </w:rPr>
            </w:pPr>
          </w:p>
        </w:tc>
        <w:tc>
          <w:tcPr>
            <w:tcW w:w="2438"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Stage N3 (%)</w:t>
            </w:r>
          </w:p>
        </w:tc>
        <w:tc>
          <w:tcPr>
            <w:tcW w:w="1982"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3.0 ± 7.0</w:t>
            </w:r>
          </w:p>
        </w:tc>
        <w:tc>
          <w:tcPr>
            <w:tcW w:w="1530"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2.1 ± 3.6</w:t>
            </w:r>
          </w:p>
        </w:tc>
        <w:tc>
          <w:tcPr>
            <w:tcW w:w="2435"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i/>
                <w:iCs/>
                <w:sz w:val="22"/>
              </w:rPr>
              <w:t xml:space="preserve">t </w:t>
            </w:r>
            <w:r>
              <w:rPr>
                <w:rFonts w:ascii="Times New Roman" w:hAnsi="Times New Roman" w:cs="Times New Roman"/>
                <w:sz w:val="22"/>
              </w:rPr>
              <w:t xml:space="preserve">= –1.11, </w:t>
            </w:r>
            <w:r>
              <w:rPr>
                <w:rFonts w:ascii="Times New Roman" w:eastAsiaTheme="minorHAnsi" w:hAnsi="Times New Roman" w:cs="Times New Roman"/>
                <w:i/>
                <w:sz w:val="22"/>
                <w:kern w:val="0"/>
              </w:rPr>
              <w:t>P</w:t>
            </w:r>
            <w:r>
              <w:rPr>
                <w:rFonts w:ascii="Times New Roman" w:hAnsi="Times New Roman" w:cs="Times New Roman"/>
                <w:i/>
                <w:iCs/>
                <w:sz w:val="22"/>
              </w:rPr>
              <w:t xml:space="preserve"> </w:t>
            </w:r>
            <w:r>
              <w:rPr>
                <w:rFonts w:ascii="Times New Roman" w:hAnsi="Times New Roman" w:cs="Times New Roman"/>
                <w:sz w:val="22"/>
              </w:rPr>
              <w:t>= 0.268</w:t>
            </w:r>
          </w:p>
        </w:tc>
      </w:tr>
      <w:tr>
        <w:trPr>
          <w:trHeight w:val="293" w:hRule="atLeast"/>
        </w:trPr>
        <w:tc>
          <w:tcPr>
            <w:tcW w:w="255" w:type="dxa"/>
            <w:tcBorders>
              <w:bottom w:val="single" w:sz="4" w:space="0" w:color="auto"/>
            </w:tcBorders>
            <w:tcMar>
              <w:top w:w="0" w:type="dxa"/>
              <w:left w:w="0" w:type="dxa"/>
              <w:bottom w:w="0" w:type="dxa"/>
              <w:right w:w="0" w:type="dxa"/>
            </w:tcMar>
            <w:vAlign w:val="center"/>
            <w:hideMark/>
          </w:tcPr>
          <w:p>
            <w:pPr>
              <w:rPr>
                <w:rFonts w:ascii="Times New Roman" w:hAnsi="Times New Roman" w:cs="Times New Roman"/>
                <w:sz w:val="22"/>
              </w:rPr>
            </w:pPr>
          </w:p>
        </w:tc>
        <w:tc>
          <w:tcPr>
            <w:tcW w:w="2438" w:type="dxa"/>
            <w:tcBorders>
              <w:bottom w:val="single" w:sz="4" w:space="0" w:color="auto"/>
            </w:tcBorders>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Stage R (%)</w:t>
            </w:r>
          </w:p>
        </w:tc>
        <w:tc>
          <w:tcPr>
            <w:tcW w:w="1982" w:type="dxa"/>
            <w:tcBorders>
              <w:bottom w:val="single" w:sz="4" w:space="0" w:color="auto"/>
            </w:tcBorders>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13.0 ± 6.2</w:t>
            </w:r>
          </w:p>
        </w:tc>
        <w:tc>
          <w:tcPr>
            <w:tcW w:w="1530" w:type="dxa"/>
            <w:tcBorders>
              <w:bottom w:val="single" w:sz="4" w:space="0" w:color="auto"/>
            </w:tcBorders>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13.1 ± 6.5</w:t>
            </w:r>
          </w:p>
        </w:tc>
        <w:tc>
          <w:tcPr>
            <w:tcW w:w="2435" w:type="dxa"/>
            <w:tcBorders>
              <w:bottom w:val="single" w:sz="4" w:space="0" w:color="auto"/>
            </w:tcBorders>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i/>
                <w:iCs/>
                <w:sz w:val="22"/>
              </w:rPr>
              <w:t xml:space="preserve">t </w:t>
            </w:r>
            <w:r>
              <w:rPr>
                <w:rFonts w:ascii="Times New Roman" w:hAnsi="Times New Roman" w:cs="Times New Roman"/>
                <w:sz w:val="22"/>
              </w:rPr>
              <w:t xml:space="preserve">= 0.12, </w:t>
            </w:r>
            <w:r>
              <w:rPr>
                <w:rFonts w:ascii="Times New Roman" w:eastAsiaTheme="minorHAnsi" w:hAnsi="Times New Roman" w:cs="Times New Roman"/>
                <w:i/>
                <w:sz w:val="22"/>
                <w:kern w:val="0"/>
              </w:rPr>
              <w:t>P</w:t>
            </w:r>
            <w:r>
              <w:rPr>
                <w:rFonts w:ascii="Times New Roman" w:hAnsi="Times New Roman" w:cs="Times New Roman"/>
                <w:i/>
                <w:iCs/>
                <w:sz w:val="22"/>
              </w:rPr>
              <w:t xml:space="preserve"> </w:t>
            </w:r>
            <w:r>
              <w:rPr>
                <w:rFonts w:ascii="Times New Roman" w:hAnsi="Times New Roman" w:cs="Times New Roman"/>
                <w:sz w:val="22"/>
              </w:rPr>
              <w:t>= 0.907</w:t>
            </w:r>
          </w:p>
        </w:tc>
      </w:tr>
    </w:tbl>
    <w:p>
      <w:pPr>
        <w:ind w:left="110" w:hangingChars="50" w:hanging="110"/>
        <w:rPr>
          <w:rFonts w:ascii="Times New Roman" w:hAnsi="Times New Roman" w:cs="Times New Roman"/>
          <w:b/>
          <w:sz w:val="22"/>
          <w:vertAlign w:val="superscript"/>
        </w:rPr>
      </w:pPr>
      <w:r>
        <w:rPr>
          <w:rFonts w:ascii="Times New Roman" w:hAnsi="Times New Roman" w:cs="Times New Roman"/>
          <w:b/>
          <w:sz w:val="22"/>
        </w:rPr>
        <w:t>Notes:</w:t>
      </w:r>
      <w:r>
        <w:rPr>
          <w:rFonts w:ascii="Times New Roman" w:hAnsi="Times New Roman" w:cs="Times New Roman"/>
          <w:sz w:val="22"/>
        </w:rPr>
        <w:t xml:space="preserve"> Data are mean ± standard deviation values. </w:t>
      </w:r>
      <w:r>
        <w:rPr>
          <w:rFonts w:ascii="Times New Roman" w:hAnsi="Times New Roman" w:cs="Times New Roman"/>
          <w:sz w:val="28"/>
          <w:vertAlign w:val="superscript"/>
        </w:rPr>
        <w:t>a</w:t>
      </w:r>
      <w:r>
        <w:rPr>
          <w:rFonts w:ascii="Times New Roman" w:hAnsi="Times New Roman" w:cs="Times New Roman"/>
          <w:sz w:val="22"/>
        </w:rPr>
        <w:t>Independent</w:t>
      </w:r>
      <w:r>
        <w:rPr>
          <w:rFonts w:ascii="Times New Roman" w:hAnsi="Times New Roman" w:cs="Times New Roman"/>
          <w:sz w:val="22"/>
        </w:rPr>
        <w:t xml:space="preserve"> </w:t>
      </w:r>
      <w:r>
        <w:rPr>
          <w:rFonts w:ascii="Times New Roman" w:hAnsi="Times New Roman" w:cs="Times New Roman"/>
          <w:i/>
          <w:sz w:val="22"/>
        </w:rPr>
        <w:t>t</w:t>
      </w:r>
      <w:r>
        <w:rPr>
          <w:rFonts w:ascii="Times New Roman" w:hAnsi="Times New Roman" w:cs="Times New Roman"/>
          <w:sz w:val="22"/>
        </w:rPr>
        <w:t xml:space="preserve">-test. </w:t>
      </w:r>
      <w:r>
        <w:rPr>
          <w:rFonts w:ascii="Times New Roman" w:hAnsi="Times New Roman" w:cs="Times New Roman"/>
          <w:sz w:val="28"/>
          <w:vertAlign w:val="superscript"/>
        </w:rPr>
        <w:t>b</w:t>
      </w:r>
      <w:r>
        <w:rPr>
          <w:rFonts w:ascii="Times New Roman" w:hAnsi="Times New Roman" w:cs="Times New Roman"/>
          <w:sz w:val="22"/>
        </w:rPr>
        <w:t>Loudness</w:t>
      </w:r>
      <w:r>
        <w:rPr>
          <w:rFonts w:ascii="Times New Roman" w:hAnsi="Times New Roman" w:cs="Times New Roman"/>
          <w:sz w:val="22"/>
        </w:rPr>
        <w:t xml:space="preserve"> of the snoring sound during polysomnography: 0, no snoring; 1, soft snoring; 2, loud snoring.</w:t>
      </w:r>
      <w:r>
        <w:rPr>
          <w:rFonts w:ascii="Times New Roman" w:hAnsi="Times New Roman" w:cs="Times New Roman"/>
          <w:sz w:val="22"/>
        </w:rPr>
        <w:t xml:space="preserve"> </w:t>
      </w:r>
      <w:r>
        <w:rPr>
          <w:rFonts w:ascii="Times New Roman" w:hAnsi="Times New Roman" w:cs="Times New Roman"/>
          <w:sz w:val="22"/>
        </w:rPr>
        <w:t xml:space="preserve">Bold indicates </w:t>
      </w:r>
      <w:r>
        <w:rPr>
          <w:rFonts w:ascii="Times New Roman" w:eastAsiaTheme="minorHAnsi" w:hAnsi="Times New Roman" w:cs="Times New Roman"/>
          <w:bCs/>
          <w:i/>
          <w:sz w:val="22"/>
          <w:kern w:val="0"/>
        </w:rPr>
        <w:t>P</w:t>
      </w:r>
      <w:r>
        <w:rPr>
          <w:rFonts w:ascii="Times New Roman" w:hAnsi="Times New Roman" w:cs="Times New Roman"/>
          <w:sz w:val="22"/>
        </w:rPr>
        <w:t xml:space="preserve"> &lt; 0.1. *</w:t>
      </w:r>
      <w:r>
        <w:rPr>
          <w:rFonts w:ascii="Times New Roman" w:eastAsiaTheme="minorHAnsi" w:hAnsi="Times New Roman" w:cs="Times New Roman"/>
          <w:bCs/>
          <w:i/>
          <w:sz w:val="22"/>
          <w:kern w:val="0"/>
        </w:rPr>
        <w:t>P</w:t>
      </w:r>
      <w:r>
        <w:rPr>
          <w:rFonts w:ascii="Times New Roman" w:hAnsi="Times New Roman" w:cs="Times New Roman"/>
          <w:sz w:val="22"/>
        </w:rPr>
        <w:t xml:space="preserve"> &lt; 0.05</w:t>
      </w:r>
      <w:r>
        <w:rPr>
          <w:rFonts w:ascii="Times New Roman" w:hAnsi="Times New Roman" w:cs="Times New Roman"/>
          <w:sz w:val="22"/>
        </w:rPr>
        <w:t>.</w:t>
      </w:r>
    </w:p>
    <w:p>
      <w:pPr>
        <w:rPr>
          <w:rFonts w:ascii="Times New Roman" w:hAnsi="Times New Roman" w:cs="Times New Roman"/>
          <w:b/>
          <w:bCs/>
          <w:sz w:val="22"/>
        </w:rPr>
      </w:pPr>
      <w:r>
        <w:rPr>
          <w:rFonts w:ascii="Times New Roman" w:hAnsi="Times New Roman" w:cs="Times New Roman"/>
          <w:b/>
          <w:sz w:val="22"/>
        </w:rPr>
        <w:t>Abbreviations:</w:t>
      </w:r>
      <w:r>
        <w:rPr>
          <w:rFonts w:ascii="Times New Roman" w:hAnsi="Times New Roman" w:cs="Times New Roman"/>
          <w:sz w:val="22"/>
        </w:rPr>
        <w:t xml:space="preserve"> CPAP, </w:t>
      </w:r>
      <w:r>
        <w:rPr>
          <w:rFonts w:ascii="Times New Roman" w:hAnsi="Times New Roman" w:cs="Times New Roman"/>
          <w:iCs/>
          <w:sz w:val="22"/>
        </w:rPr>
        <w:t xml:space="preserve">continuous positive airway pressure; </w:t>
      </w:r>
      <w:r>
        <w:rPr>
          <w:rFonts w:ascii="Times New Roman" w:hAnsi="Times New Roman" w:cs="Times New Roman"/>
          <w:sz w:val="22"/>
        </w:rPr>
        <w:t>N/h, number per hour;</w:t>
      </w:r>
      <w:r>
        <w:rPr>
          <w:rFonts w:ascii="Times New Roman" w:hAnsi="Times New Roman" w:cs="Times New Roman"/>
          <w:iCs/>
          <w:sz w:val="22"/>
        </w:rPr>
        <w:t xml:space="preserve"> PLMS, periodic limb movements during sleep; REM, rapid eye movement.</w:t>
      </w:r>
      <w:r>
        <w:rPr>
          <w:rFonts w:ascii="Times New Roman" w:hAnsi="Times New Roman" w:cs="Times New Roman"/>
          <w:sz w:val="22"/>
        </w:rPr>
        <w:t xml:space="preserve"> </w:t>
      </w:r>
      <w:r>
        <w:rPr>
          <w:rFonts w:ascii="Times New Roman" w:hAnsi="Times New Roman" w:cs="Times New Roman"/>
        </w:rPr>
        <w:t xml:space="preserve"> </w:t>
      </w:r>
    </w:p>
    <w:p>
      <w:pPr>
        <w:rPr>
          <w:rFonts w:ascii="Times New Roman" w:hAnsi="Times New Roman" w:cs="Times New Roman"/>
          <w:sz w:val="22"/>
        </w:rPr>
      </w:pPr>
    </w:p>
    <w:p>
      <w:pPr>
        <w:rPr>
          <w:rFonts w:ascii="Times New Roman" w:hAnsi="Times New Roman" w:cs="Times New Roman"/>
          <w:b/>
          <w:bCs/>
          <w:sz w:val="22"/>
        </w:rPr>
      </w:pPr>
      <w:r>
        <w:rPr>
          <w:rFonts w:ascii="Times New Roman" w:hAnsi="Times New Roman" w:cs="Times New Roman"/>
          <w:b/>
          <w:bCs/>
          <w:sz w:val="22"/>
        </w:rPr>
        <w:br w:type="page"/>
      </w:r>
    </w:p>
    <w:p>
      <w:pPr>
        <w:rPr>
          <w:rFonts w:ascii="Times New Roman" w:hAnsi="Times New Roman" w:cs="Times New Roman"/>
          <w:sz w:val="22"/>
        </w:rPr>
      </w:pPr>
      <w:r>
        <w:rPr>
          <w:rFonts w:ascii="Times New Roman" w:hAnsi="Times New Roman" w:cs="Times New Roman"/>
          <w:b/>
          <w:bCs/>
          <w:sz w:val="22"/>
        </w:rPr>
        <w:t>Table 4</w:t>
      </w:r>
      <w:r>
        <w:rPr>
          <w:rFonts w:ascii="Times New Roman" w:hAnsi="Times New Roman" w:cs="Times New Roman"/>
          <w:sz w:val="22"/>
        </w:rPr>
        <w:t xml:space="preserve"> Logistic regression predicting CPAP </w:t>
      </w:r>
      <w:r>
        <w:rPr>
          <w:rFonts w:ascii="Times New Roman" w:hAnsi="Times New Roman" w:cs="Times New Roman"/>
          <w:sz w:val="22"/>
        </w:rPr>
        <w:t>compliance</w:t>
      </w:r>
      <w:r>
        <w:rPr>
          <w:rFonts w:ascii="Times New Roman" w:hAnsi="Times New Roman" w:cs="Times New Roman"/>
          <w:sz w:val="22"/>
        </w:rPr>
        <w:t xml:space="preserve"> </w:t>
      </w:r>
    </w:p>
    <w:p>
      <w:pPr>
        <w:rPr>
          <w:rFonts w:ascii="Times New Roman" w:hAnsi="Times New Roman" w:cs="Times New Roman"/>
          <w:sz w:val="22"/>
        </w:rPr>
      </w:pPr>
    </w:p>
    <w:tbl>
      <w:tblPr>
        <w:tblW w:w="4967" w:type="pct"/>
        <w:tblBorders>
          <w:top w:val="single" w:sz="4" w:space="0" w:color="auto"/>
          <w:bottom w:val="single" w:sz="4" w:space="0" w:color="auto"/>
        </w:tblBorders>
        <w:tblLook w:val="04A0" w:firstRow="1" w:lastRow="0" w:firstColumn="1" w:lastColumn="0" w:noHBand="0" w:noVBand="1"/>
        <w:jc w:val="center"/>
        <w:tblCellMar>
          <w:bottom w:w="57" w:type="dxa"/>
        </w:tblCellMar>
      </w:tblPr>
      <w:tblGrid>
        <w:gridCol w:w="2672"/>
        <w:gridCol w:w="806"/>
        <w:gridCol w:w="804"/>
        <w:gridCol w:w="1205"/>
        <w:gridCol w:w="1167"/>
        <w:gridCol w:w="880"/>
        <w:gridCol w:w="1432"/>
      </w:tblGrid>
      <w:tr>
        <w:trPr>
          <w:jc w:val="center"/>
          <w:trHeight w:val="632" w:hRule="exact"/>
        </w:trPr>
        <w:tc>
          <w:tcPr>
            <w:tcW w:w="1493" w:type="pct"/>
            <w:tcBorders>
              <w:top w:val="single" w:sz="4" w:space="0" w:color="auto"/>
              <w:bottom w:val="single" w:sz="4" w:space="0" w:color="auto"/>
            </w:tcBorders>
            <w:vAlign w:val="center"/>
            <w:hideMark/>
          </w:tcPr>
          <w:p>
            <w:pPr>
              <w:rPr>
                <w:rFonts w:ascii="Times New Roman" w:hAnsi="Times New Roman" w:cs="Times New Roman"/>
                <w:b/>
                <w:bCs/>
                <w:sz w:val="22"/>
              </w:rPr>
            </w:pPr>
            <w:r>
              <w:rPr>
                <w:rFonts w:ascii="Times New Roman" w:hAnsi="Times New Roman" w:cs="Times New Roman"/>
                <w:b/>
                <w:bCs/>
                <w:sz w:val="22"/>
              </w:rPr>
              <w:t>Variables</w:t>
            </w:r>
          </w:p>
        </w:tc>
        <w:tc>
          <w:tcPr>
            <w:tcW w:w="452" w:type="pct"/>
            <w:tcBorders>
              <w:top w:val="single" w:sz="4" w:space="0" w:color="auto"/>
              <w:bottom w:val="single" w:sz="4" w:space="0" w:color="auto"/>
            </w:tcBorders>
            <w:vAlign w:val="center"/>
            <w:hideMark/>
          </w:tcPr>
          <w:p>
            <w:pPr>
              <w:rPr>
                <w:rFonts w:ascii="Times New Roman" w:hAnsi="Times New Roman" w:cs="Times New Roman"/>
                <w:b/>
                <w:bCs/>
                <w:i/>
                <w:iCs/>
                <w:sz w:val="22"/>
              </w:rPr>
            </w:pPr>
            <w:r>
              <w:rPr>
                <w:rFonts w:ascii="Times New Roman" w:hAnsi="Times New Roman" w:cs="Times New Roman"/>
                <w:b/>
                <w:bCs/>
                <w:i/>
                <w:iCs/>
                <w:sz w:val="22"/>
              </w:rPr>
              <w:t>B</w:t>
            </w:r>
          </w:p>
        </w:tc>
        <w:tc>
          <w:tcPr>
            <w:tcW w:w="451" w:type="pct"/>
            <w:tcBorders>
              <w:top w:val="single" w:sz="4" w:space="0" w:color="auto"/>
              <w:bottom w:val="single" w:sz="4" w:space="0" w:color="auto"/>
            </w:tcBorders>
            <w:vAlign w:val="center"/>
            <w:hideMark/>
          </w:tcPr>
          <w:p>
            <w:pPr>
              <w:rPr>
                <w:rFonts w:ascii="Times New Roman" w:hAnsi="Times New Roman" w:cs="Times New Roman"/>
                <w:b/>
                <w:bCs/>
                <w:sz w:val="22"/>
              </w:rPr>
            </w:pPr>
            <w:r>
              <w:rPr>
                <w:rFonts w:ascii="Times New Roman" w:hAnsi="Times New Roman" w:cs="Times New Roman"/>
                <w:b/>
                <w:bCs/>
                <w:sz w:val="22"/>
              </w:rPr>
              <w:t>SE</w:t>
            </w:r>
          </w:p>
        </w:tc>
        <w:tc>
          <w:tcPr>
            <w:tcW w:w="674" w:type="pct"/>
            <w:tcBorders>
              <w:top w:val="single" w:sz="4" w:space="0" w:color="auto"/>
              <w:bottom w:val="single" w:sz="4" w:space="0" w:color="auto"/>
            </w:tcBorders>
            <w:vAlign w:val="center"/>
            <w:hideMark/>
          </w:tcPr>
          <w:p>
            <w:pPr>
              <w:rPr>
                <w:rFonts w:ascii="Times New Roman" w:hAnsi="Times New Roman" w:cs="Times New Roman"/>
                <w:b/>
                <w:bCs/>
                <w:sz w:val="22"/>
              </w:rPr>
            </w:pPr>
            <w:r>
              <w:rPr>
                <w:rFonts w:ascii="Times New Roman" w:hAnsi="Times New Roman" w:cs="Times New Roman"/>
                <w:b/>
                <w:bCs/>
                <w:sz w:val="22"/>
              </w:rPr>
              <w:t>Wald chi-square</w:t>
            </w:r>
          </w:p>
        </w:tc>
        <w:tc>
          <w:tcPr>
            <w:tcW w:w="635" w:type="pct"/>
            <w:tcBorders>
              <w:top w:val="single" w:sz="4" w:space="0" w:color="auto"/>
              <w:bottom w:val="single" w:sz="4" w:space="0" w:color="auto"/>
            </w:tcBorders>
            <w:vAlign w:val="center"/>
            <w:hideMark/>
          </w:tcPr>
          <w:p>
            <w:pPr>
              <w:rPr>
                <w:rFonts w:ascii="Times New Roman" w:hAnsi="Times New Roman" w:cs="Times New Roman"/>
                <w:b/>
                <w:bCs/>
                <w:sz w:val="22"/>
              </w:rPr>
            </w:pPr>
            <w:r>
              <w:rPr>
                <w:rFonts w:ascii="Times New Roman" w:eastAsiaTheme="minorHAnsi" w:hAnsi="Times New Roman" w:cs="Times New Roman"/>
                <w:b/>
                <w:i/>
                <w:sz w:val="22"/>
                <w:kern w:val="0"/>
              </w:rPr>
              <w:t>P</w:t>
            </w:r>
            <w:r>
              <w:rPr>
                <w:rFonts w:ascii="Times New Roman" w:hAnsi="Times New Roman" w:cs="Times New Roman"/>
                <w:b/>
                <w:bCs/>
                <w:sz w:val="22"/>
              </w:rPr>
              <w:t xml:space="preserve"> value</w:t>
            </w:r>
          </w:p>
        </w:tc>
        <w:tc>
          <w:tcPr>
            <w:tcW w:w="493" w:type="pct"/>
            <w:tcBorders>
              <w:top w:val="single" w:sz="4" w:space="0" w:color="auto"/>
              <w:bottom w:val="single" w:sz="4" w:space="0" w:color="auto"/>
            </w:tcBorders>
            <w:vAlign w:val="center"/>
            <w:hideMark/>
          </w:tcPr>
          <w:p>
            <w:pPr>
              <w:rPr>
                <w:rFonts w:ascii="Times New Roman" w:hAnsi="Times New Roman" w:cs="Times New Roman"/>
                <w:b/>
                <w:bCs/>
                <w:sz w:val="22"/>
              </w:rPr>
            </w:pPr>
            <w:r>
              <w:rPr>
                <w:rFonts w:ascii="Times New Roman" w:hAnsi="Times New Roman" w:cs="Times New Roman"/>
                <w:b/>
                <w:bCs/>
                <w:sz w:val="22"/>
              </w:rPr>
              <w:t>Odds ratio</w:t>
            </w:r>
          </w:p>
        </w:tc>
        <w:tc>
          <w:tcPr>
            <w:tcW w:w="801" w:type="pct"/>
            <w:tcBorders>
              <w:top w:val="single" w:sz="4" w:space="0" w:color="auto"/>
              <w:bottom w:val="single" w:sz="4" w:space="0" w:color="auto"/>
            </w:tcBorders>
            <w:vAlign w:val="center"/>
            <w:hideMark/>
          </w:tcPr>
          <w:p>
            <w:pPr>
              <w:rPr>
                <w:rFonts w:ascii="Times New Roman" w:hAnsi="Times New Roman" w:cs="Times New Roman"/>
                <w:b/>
                <w:bCs/>
                <w:sz w:val="22"/>
              </w:rPr>
            </w:pPr>
            <w:r>
              <w:rPr>
                <w:rFonts w:ascii="Times New Roman" w:hAnsi="Times New Roman" w:cs="Times New Roman"/>
                <w:b/>
                <w:bCs/>
                <w:sz w:val="22"/>
              </w:rPr>
              <w:t xml:space="preserve">95% CI </w:t>
            </w:r>
          </w:p>
        </w:tc>
      </w:tr>
      <w:tr>
        <w:trPr>
          <w:jc w:val="center"/>
          <w:trHeight w:val="331" w:hRule="exact"/>
        </w:trPr>
        <w:tc>
          <w:tcPr>
            <w:tcW w:w="1493" w:type="pct"/>
            <w:tcBorders>
              <w:top w:val="single" w:sz="4" w:space="0" w:color="auto"/>
            </w:tcBorders>
            <w:vAlign w:val="center"/>
            <w:hideMark/>
          </w:tcPr>
          <w:p>
            <w:pPr>
              <w:rPr>
                <w:rFonts w:ascii="Times New Roman" w:hAnsi="Times New Roman" w:cs="Times New Roman"/>
                <w:sz w:val="22"/>
              </w:rPr>
            </w:pPr>
            <w:r>
              <w:rPr>
                <w:rFonts w:ascii="Times New Roman" w:hAnsi="Times New Roman" w:cs="Times New Roman"/>
                <w:sz w:val="22"/>
              </w:rPr>
              <w:t>Constant</w:t>
            </w:r>
          </w:p>
        </w:tc>
        <w:tc>
          <w:tcPr>
            <w:tcW w:w="452" w:type="pct"/>
            <w:tcBorders>
              <w:top w:val="single" w:sz="4" w:space="0" w:color="auto"/>
            </w:tcBorders>
            <w:vAlign w:val="center"/>
            <w:hideMark/>
          </w:tcPr>
          <w:p>
            <w:pPr>
              <w:rPr>
                <w:rFonts w:ascii="Times New Roman" w:hAnsi="Times New Roman" w:cs="Times New Roman"/>
                <w:sz w:val="22"/>
              </w:rPr>
            </w:pPr>
            <w:r>
              <w:rPr>
                <w:rFonts w:ascii="Times New Roman" w:hAnsi="Times New Roman" w:cs="Times New Roman"/>
                <w:sz w:val="22"/>
              </w:rPr>
              <w:t>1.34</w:t>
            </w:r>
          </w:p>
        </w:tc>
        <w:tc>
          <w:tcPr>
            <w:tcW w:w="451" w:type="pct"/>
            <w:tcBorders>
              <w:top w:val="single" w:sz="4" w:space="0" w:color="auto"/>
            </w:tcBorders>
            <w:vAlign w:val="center"/>
            <w:hideMark/>
          </w:tcPr>
          <w:p>
            <w:pPr>
              <w:rPr>
                <w:rFonts w:ascii="Times New Roman" w:hAnsi="Times New Roman" w:cs="Times New Roman"/>
                <w:sz w:val="22"/>
              </w:rPr>
            </w:pPr>
            <w:r>
              <w:rPr>
                <w:rFonts w:ascii="Times New Roman" w:hAnsi="Times New Roman" w:cs="Times New Roman"/>
                <w:sz w:val="22"/>
              </w:rPr>
              <w:t>0.771</w:t>
            </w:r>
          </w:p>
        </w:tc>
        <w:tc>
          <w:tcPr>
            <w:tcW w:w="674" w:type="pct"/>
            <w:tcBorders>
              <w:top w:val="single" w:sz="4" w:space="0" w:color="auto"/>
            </w:tcBorders>
            <w:vAlign w:val="center"/>
            <w:hideMark/>
          </w:tcPr>
          <w:p>
            <w:pPr>
              <w:rPr>
                <w:rFonts w:ascii="Times New Roman" w:hAnsi="Times New Roman" w:cs="Times New Roman"/>
                <w:sz w:val="22"/>
              </w:rPr>
            </w:pPr>
            <w:r>
              <w:rPr>
                <w:rFonts w:ascii="Times New Roman" w:hAnsi="Times New Roman" w:cs="Times New Roman"/>
                <w:sz w:val="22"/>
              </w:rPr>
              <w:t>3.034</w:t>
            </w:r>
          </w:p>
        </w:tc>
        <w:tc>
          <w:tcPr>
            <w:tcW w:w="635" w:type="pct"/>
            <w:tcBorders>
              <w:top w:val="single" w:sz="4" w:space="0" w:color="auto"/>
            </w:tcBorders>
            <w:vAlign w:val="center"/>
            <w:hideMark/>
          </w:tcPr>
          <w:p>
            <w:pPr>
              <w:rPr>
                <w:rFonts w:ascii="Times New Roman" w:hAnsi="Times New Roman" w:cs="Times New Roman"/>
                <w:sz w:val="22"/>
              </w:rPr>
            </w:pPr>
            <w:r>
              <w:rPr>
                <w:rFonts w:ascii="Times New Roman" w:hAnsi="Times New Roman" w:cs="Times New Roman"/>
                <w:sz w:val="22"/>
              </w:rPr>
              <w:t>0.082</w:t>
            </w:r>
          </w:p>
        </w:tc>
        <w:tc>
          <w:tcPr>
            <w:tcW w:w="493" w:type="pct"/>
            <w:tcBorders>
              <w:top w:val="single" w:sz="4" w:space="0" w:color="auto"/>
            </w:tcBorders>
            <w:vAlign w:val="center"/>
          </w:tcPr>
          <w:p>
            <w:pPr>
              <w:rPr>
                <w:rFonts w:ascii="Times New Roman" w:hAnsi="Times New Roman" w:cs="Times New Roman"/>
                <w:sz w:val="22"/>
              </w:rPr>
            </w:pPr>
          </w:p>
        </w:tc>
        <w:tc>
          <w:tcPr>
            <w:tcW w:w="801" w:type="pct"/>
            <w:tcBorders>
              <w:top w:val="single" w:sz="4" w:space="0" w:color="auto"/>
            </w:tcBorders>
            <w:vAlign w:val="center"/>
          </w:tcPr>
          <w:p>
            <w:pPr>
              <w:rPr>
                <w:rFonts w:ascii="Times New Roman" w:hAnsi="Times New Roman" w:cs="Times New Roman"/>
                <w:sz w:val="22"/>
              </w:rPr>
            </w:pPr>
          </w:p>
        </w:tc>
      </w:tr>
      <w:tr>
        <w:trPr>
          <w:jc w:val="center"/>
          <w:trHeight w:val="331" w:hRule="exact"/>
        </w:trPr>
        <w:tc>
          <w:tcPr>
            <w:tcW w:w="1493" w:type="pct"/>
            <w:vAlign w:val="center"/>
            <w:hideMark/>
          </w:tcPr>
          <w:p>
            <w:pPr>
              <w:rPr>
                <w:rFonts w:ascii="Times New Roman" w:hAnsi="Times New Roman" w:cs="Times New Roman"/>
                <w:sz w:val="22"/>
              </w:rPr>
            </w:pPr>
            <w:r>
              <w:rPr>
                <w:rFonts w:ascii="Times New Roman" w:hAnsi="Times New Roman" w:cs="Times New Roman"/>
                <w:sz w:val="22"/>
              </w:rPr>
              <w:t xml:space="preserve">Apnea hypopnea </w:t>
            </w:r>
            <w:r>
              <w:rPr>
                <w:rFonts w:ascii="Times New Roman" w:hAnsi="Times New Roman" w:cs="Times New Roman"/>
                <w:sz w:val="22"/>
              </w:rPr>
              <w:t>index</w:t>
            </w:r>
            <w:r>
              <w:rPr>
                <w:rFonts w:ascii="Times New Roman" w:hAnsi="Times New Roman" w:cs="Times New Roman"/>
                <w:sz w:val="28"/>
                <w:vertAlign w:val="superscript"/>
              </w:rPr>
              <w:t>a</w:t>
            </w:r>
          </w:p>
        </w:tc>
        <w:tc>
          <w:tcPr>
            <w:tcW w:w="452" w:type="pct"/>
            <w:vAlign w:val="center"/>
            <w:hideMark/>
          </w:tcPr>
          <w:p>
            <w:pPr>
              <w:rPr>
                <w:rFonts w:ascii="Times New Roman" w:hAnsi="Times New Roman" w:cs="Times New Roman"/>
                <w:sz w:val="22"/>
              </w:rPr>
            </w:pPr>
            <w:r>
              <w:rPr>
                <w:rFonts w:ascii="Times New Roman" w:hAnsi="Times New Roman" w:cs="Times New Roman"/>
                <w:sz w:val="22"/>
              </w:rPr>
              <w:t>–0.02</w:t>
            </w:r>
          </w:p>
        </w:tc>
        <w:tc>
          <w:tcPr>
            <w:tcW w:w="451" w:type="pct"/>
            <w:vAlign w:val="center"/>
            <w:hideMark/>
          </w:tcPr>
          <w:p>
            <w:pPr>
              <w:rPr>
                <w:rFonts w:ascii="Times New Roman" w:hAnsi="Times New Roman" w:cs="Times New Roman"/>
                <w:sz w:val="22"/>
              </w:rPr>
            </w:pPr>
            <w:r>
              <w:rPr>
                <w:rFonts w:ascii="Times New Roman" w:hAnsi="Times New Roman" w:cs="Times New Roman"/>
                <w:sz w:val="22"/>
              </w:rPr>
              <w:t>0.009</w:t>
            </w:r>
          </w:p>
        </w:tc>
        <w:tc>
          <w:tcPr>
            <w:tcW w:w="674" w:type="pct"/>
            <w:vAlign w:val="center"/>
            <w:hideMark/>
          </w:tcPr>
          <w:p>
            <w:pPr>
              <w:rPr>
                <w:rFonts w:ascii="Times New Roman" w:hAnsi="Times New Roman" w:cs="Times New Roman"/>
                <w:sz w:val="22"/>
              </w:rPr>
            </w:pPr>
            <w:r>
              <w:rPr>
                <w:rFonts w:ascii="Times New Roman" w:hAnsi="Times New Roman" w:cs="Times New Roman"/>
                <w:sz w:val="22"/>
              </w:rPr>
              <w:t>3.494</w:t>
            </w:r>
          </w:p>
        </w:tc>
        <w:tc>
          <w:tcPr>
            <w:tcW w:w="635" w:type="pct"/>
            <w:vAlign w:val="center"/>
            <w:hideMark/>
          </w:tcPr>
          <w:p>
            <w:pPr>
              <w:rPr>
                <w:rFonts w:ascii="Times New Roman" w:hAnsi="Times New Roman" w:cs="Times New Roman"/>
                <w:sz w:val="22"/>
              </w:rPr>
            </w:pPr>
            <w:r>
              <w:rPr>
                <w:rFonts w:ascii="Times New Roman" w:hAnsi="Times New Roman" w:cs="Times New Roman"/>
                <w:sz w:val="22"/>
              </w:rPr>
              <w:t>0.062</w:t>
            </w:r>
          </w:p>
        </w:tc>
        <w:tc>
          <w:tcPr>
            <w:tcW w:w="493" w:type="pct"/>
            <w:vAlign w:val="center"/>
            <w:hideMark/>
          </w:tcPr>
          <w:p>
            <w:pPr>
              <w:rPr>
                <w:rFonts w:ascii="Times New Roman" w:hAnsi="Times New Roman" w:cs="Times New Roman"/>
                <w:sz w:val="22"/>
              </w:rPr>
            </w:pPr>
            <w:r>
              <w:rPr>
                <w:rFonts w:ascii="Times New Roman" w:hAnsi="Times New Roman" w:cs="Times New Roman"/>
                <w:sz w:val="22"/>
              </w:rPr>
              <w:t>0.984</w:t>
            </w:r>
          </w:p>
        </w:tc>
        <w:tc>
          <w:tcPr>
            <w:tcW w:w="801" w:type="pct"/>
            <w:vAlign w:val="center"/>
            <w:hideMark/>
          </w:tcPr>
          <w:p>
            <w:pPr>
              <w:rPr>
                <w:rFonts w:ascii="Times New Roman" w:hAnsi="Times New Roman" w:cs="Times New Roman"/>
                <w:sz w:val="22"/>
              </w:rPr>
            </w:pPr>
            <w:r>
              <w:rPr>
                <w:rFonts w:ascii="Times New Roman" w:hAnsi="Times New Roman" w:cs="Times New Roman"/>
                <w:sz w:val="22"/>
              </w:rPr>
              <w:t>0.967–1.001</w:t>
            </w:r>
          </w:p>
        </w:tc>
      </w:tr>
      <w:tr>
        <w:trPr>
          <w:jc w:val="center"/>
          <w:trHeight w:val="331" w:hRule="exact"/>
        </w:trPr>
        <w:tc>
          <w:tcPr>
            <w:tcW w:w="1493" w:type="pct"/>
            <w:vAlign w:val="center"/>
            <w:hideMark/>
          </w:tcPr>
          <w:p>
            <w:pPr>
              <w:rPr>
                <w:rFonts w:ascii="Times New Roman" w:hAnsi="Times New Roman" w:cs="Times New Roman"/>
                <w:sz w:val="22"/>
              </w:rPr>
            </w:pPr>
            <w:r>
              <w:rPr>
                <w:rFonts w:ascii="Times New Roman" w:hAnsi="Times New Roman" w:cs="Times New Roman"/>
                <w:sz w:val="22"/>
              </w:rPr>
              <w:t>Hypertension</w:t>
            </w:r>
          </w:p>
        </w:tc>
        <w:tc>
          <w:tcPr>
            <w:tcW w:w="452" w:type="pct"/>
            <w:vAlign w:val="center"/>
            <w:hideMark/>
          </w:tcPr>
          <w:p>
            <w:pPr>
              <w:rPr>
                <w:rFonts w:ascii="Times New Roman" w:hAnsi="Times New Roman" w:cs="Times New Roman"/>
                <w:sz w:val="22"/>
              </w:rPr>
            </w:pPr>
            <w:r>
              <w:rPr>
                <w:rFonts w:ascii="Times New Roman" w:hAnsi="Times New Roman" w:cs="Times New Roman"/>
                <w:sz w:val="22"/>
              </w:rPr>
              <w:t>0.66</w:t>
            </w:r>
          </w:p>
        </w:tc>
        <w:tc>
          <w:tcPr>
            <w:tcW w:w="451" w:type="pct"/>
            <w:vAlign w:val="center"/>
            <w:hideMark/>
          </w:tcPr>
          <w:p>
            <w:pPr>
              <w:rPr>
                <w:rFonts w:ascii="Times New Roman" w:hAnsi="Times New Roman" w:cs="Times New Roman"/>
                <w:sz w:val="22"/>
              </w:rPr>
            </w:pPr>
            <w:r>
              <w:rPr>
                <w:rFonts w:ascii="Times New Roman" w:hAnsi="Times New Roman" w:cs="Times New Roman"/>
                <w:sz w:val="22"/>
              </w:rPr>
              <w:t>0.358</w:t>
            </w:r>
          </w:p>
        </w:tc>
        <w:tc>
          <w:tcPr>
            <w:tcW w:w="674" w:type="pct"/>
            <w:vAlign w:val="center"/>
            <w:hideMark/>
          </w:tcPr>
          <w:p>
            <w:pPr>
              <w:rPr>
                <w:rFonts w:ascii="Times New Roman" w:hAnsi="Times New Roman" w:cs="Times New Roman"/>
                <w:sz w:val="22"/>
              </w:rPr>
            </w:pPr>
            <w:r>
              <w:rPr>
                <w:rFonts w:ascii="Times New Roman" w:hAnsi="Times New Roman" w:cs="Times New Roman"/>
                <w:sz w:val="22"/>
              </w:rPr>
              <w:t>3.433</w:t>
            </w:r>
          </w:p>
        </w:tc>
        <w:tc>
          <w:tcPr>
            <w:tcW w:w="635" w:type="pct"/>
            <w:vAlign w:val="center"/>
            <w:hideMark/>
          </w:tcPr>
          <w:p>
            <w:pPr>
              <w:rPr>
                <w:rFonts w:ascii="Times New Roman" w:hAnsi="Times New Roman" w:cs="Times New Roman"/>
                <w:sz w:val="22"/>
              </w:rPr>
            </w:pPr>
            <w:r>
              <w:rPr>
                <w:rFonts w:ascii="Times New Roman" w:hAnsi="Times New Roman" w:cs="Times New Roman"/>
                <w:sz w:val="22"/>
              </w:rPr>
              <w:t>0.064</w:t>
            </w:r>
          </w:p>
        </w:tc>
        <w:tc>
          <w:tcPr>
            <w:tcW w:w="493" w:type="pct"/>
            <w:vAlign w:val="center"/>
            <w:hideMark/>
          </w:tcPr>
          <w:p>
            <w:pPr>
              <w:rPr>
                <w:rFonts w:ascii="Times New Roman" w:hAnsi="Times New Roman" w:cs="Times New Roman"/>
                <w:sz w:val="22"/>
              </w:rPr>
            </w:pPr>
            <w:r>
              <w:rPr>
                <w:rFonts w:ascii="Times New Roman" w:hAnsi="Times New Roman" w:cs="Times New Roman"/>
                <w:sz w:val="22"/>
              </w:rPr>
              <w:t>1.94</w:t>
            </w:r>
          </w:p>
        </w:tc>
        <w:tc>
          <w:tcPr>
            <w:tcW w:w="801" w:type="pct"/>
            <w:vAlign w:val="center"/>
            <w:hideMark/>
          </w:tcPr>
          <w:p>
            <w:pPr>
              <w:rPr>
                <w:rFonts w:ascii="Times New Roman" w:hAnsi="Times New Roman" w:cs="Times New Roman"/>
                <w:sz w:val="22"/>
              </w:rPr>
            </w:pPr>
            <w:r>
              <w:rPr>
                <w:rFonts w:ascii="Times New Roman" w:hAnsi="Times New Roman" w:cs="Times New Roman"/>
                <w:sz w:val="22"/>
              </w:rPr>
              <w:t>0.962–3.916</w:t>
            </w:r>
          </w:p>
        </w:tc>
      </w:tr>
      <w:tr>
        <w:trPr>
          <w:jc w:val="center"/>
          <w:trHeight w:val="331" w:hRule="exact"/>
        </w:trPr>
        <w:tc>
          <w:tcPr>
            <w:tcW w:w="1493" w:type="pct"/>
            <w:vAlign w:val="center"/>
            <w:hideMark/>
          </w:tcPr>
          <w:p>
            <w:pPr>
              <w:rPr>
                <w:rFonts w:ascii="Times New Roman" w:hAnsi="Times New Roman" w:cs="Times New Roman"/>
                <w:sz w:val="22"/>
              </w:rPr>
            </w:pPr>
            <w:r>
              <w:rPr>
                <w:rFonts w:ascii="Times New Roman" w:hAnsi="Times New Roman" w:cs="Times New Roman"/>
                <w:sz w:val="22"/>
              </w:rPr>
              <w:t>Stage N1 (%)</w:t>
            </w:r>
          </w:p>
        </w:tc>
        <w:tc>
          <w:tcPr>
            <w:tcW w:w="452" w:type="pct"/>
            <w:vAlign w:val="center"/>
            <w:hideMark/>
          </w:tcPr>
          <w:p>
            <w:pPr>
              <w:rPr>
                <w:rFonts w:ascii="Times New Roman" w:hAnsi="Times New Roman" w:cs="Times New Roman"/>
                <w:sz w:val="22"/>
              </w:rPr>
            </w:pPr>
            <w:r>
              <w:rPr>
                <w:rFonts w:ascii="Times New Roman" w:hAnsi="Times New Roman" w:cs="Times New Roman"/>
                <w:sz w:val="22"/>
              </w:rPr>
              <w:t>0.04</w:t>
            </w:r>
          </w:p>
        </w:tc>
        <w:tc>
          <w:tcPr>
            <w:tcW w:w="451" w:type="pct"/>
            <w:vAlign w:val="center"/>
            <w:hideMark/>
          </w:tcPr>
          <w:p>
            <w:pPr>
              <w:rPr>
                <w:rFonts w:ascii="Times New Roman" w:hAnsi="Times New Roman" w:cs="Times New Roman"/>
                <w:sz w:val="22"/>
              </w:rPr>
            </w:pPr>
            <w:r>
              <w:rPr>
                <w:rFonts w:ascii="Times New Roman" w:hAnsi="Times New Roman" w:cs="Times New Roman"/>
                <w:sz w:val="22"/>
              </w:rPr>
              <w:t>0.014</w:t>
            </w:r>
          </w:p>
        </w:tc>
        <w:tc>
          <w:tcPr>
            <w:tcW w:w="674" w:type="pct"/>
            <w:vAlign w:val="center"/>
            <w:hideMark/>
          </w:tcPr>
          <w:p>
            <w:pPr>
              <w:rPr>
                <w:rFonts w:ascii="Times New Roman" w:hAnsi="Times New Roman" w:cs="Times New Roman"/>
                <w:sz w:val="22"/>
              </w:rPr>
            </w:pPr>
            <w:r>
              <w:rPr>
                <w:rFonts w:ascii="Times New Roman" w:hAnsi="Times New Roman" w:cs="Times New Roman"/>
                <w:sz w:val="22"/>
              </w:rPr>
              <w:t>6.516</w:t>
            </w:r>
          </w:p>
        </w:tc>
        <w:tc>
          <w:tcPr>
            <w:tcW w:w="635" w:type="pct"/>
            <w:vAlign w:val="center"/>
            <w:hideMark/>
          </w:tcPr>
          <w:p>
            <w:pPr>
              <w:rPr>
                <w:rFonts w:ascii="Times New Roman" w:hAnsi="Times New Roman" w:cs="Times New Roman"/>
                <w:b/>
                <w:bCs/>
                <w:sz w:val="22"/>
              </w:rPr>
            </w:pPr>
            <w:r>
              <w:rPr>
                <w:rFonts w:ascii="Times New Roman" w:hAnsi="Times New Roman" w:cs="Times New Roman"/>
                <w:b/>
                <w:bCs/>
                <w:sz w:val="22"/>
              </w:rPr>
              <w:t>0.011*</w:t>
            </w:r>
          </w:p>
        </w:tc>
        <w:tc>
          <w:tcPr>
            <w:tcW w:w="493" w:type="pct"/>
            <w:vAlign w:val="center"/>
            <w:hideMark/>
          </w:tcPr>
          <w:p>
            <w:pPr>
              <w:rPr>
                <w:rFonts w:ascii="Times New Roman" w:hAnsi="Times New Roman" w:cs="Times New Roman"/>
                <w:sz w:val="22"/>
              </w:rPr>
            </w:pPr>
            <w:r>
              <w:rPr>
                <w:rFonts w:ascii="Times New Roman" w:hAnsi="Times New Roman" w:cs="Times New Roman"/>
                <w:sz w:val="22"/>
              </w:rPr>
              <w:t>1.037</w:t>
            </w:r>
          </w:p>
        </w:tc>
        <w:tc>
          <w:tcPr>
            <w:tcW w:w="801" w:type="pct"/>
            <w:vAlign w:val="center"/>
            <w:hideMark/>
          </w:tcPr>
          <w:p>
            <w:pPr>
              <w:rPr>
                <w:rFonts w:ascii="Times New Roman" w:hAnsi="Times New Roman" w:cs="Times New Roman"/>
                <w:sz w:val="22"/>
              </w:rPr>
            </w:pPr>
            <w:r>
              <w:rPr>
                <w:rFonts w:ascii="Times New Roman" w:hAnsi="Times New Roman" w:cs="Times New Roman"/>
                <w:sz w:val="22"/>
              </w:rPr>
              <w:t>1.008–1.067</w:t>
            </w:r>
          </w:p>
        </w:tc>
      </w:tr>
      <w:tr>
        <w:trPr>
          <w:jc w:val="center"/>
          <w:trHeight w:val="395" w:hRule="exact"/>
        </w:trPr>
        <w:tc>
          <w:tcPr>
            <w:tcW w:w="1493" w:type="pct"/>
            <w:vAlign w:val="center"/>
            <w:hideMark/>
          </w:tcPr>
          <w:p>
            <w:pPr>
              <w:rPr>
                <w:rFonts w:ascii="Times New Roman" w:hAnsi="Times New Roman" w:cs="Times New Roman"/>
                <w:sz w:val="22"/>
              </w:rPr>
            </w:pPr>
            <w:r>
              <w:rPr>
                <w:rFonts w:ascii="Times New Roman" w:hAnsi="Times New Roman" w:cs="Times New Roman"/>
                <w:sz w:val="22"/>
              </w:rPr>
              <w:t>PSQI, overall sleep quality</w:t>
            </w:r>
          </w:p>
        </w:tc>
        <w:tc>
          <w:tcPr>
            <w:tcW w:w="452" w:type="pct"/>
            <w:vAlign w:val="center"/>
            <w:hideMark/>
          </w:tcPr>
          <w:p>
            <w:pPr>
              <w:rPr>
                <w:rFonts w:ascii="Times New Roman" w:hAnsi="Times New Roman" w:cs="Times New Roman"/>
                <w:sz w:val="22"/>
              </w:rPr>
            </w:pPr>
            <w:r>
              <w:rPr>
                <w:rFonts w:ascii="Times New Roman" w:hAnsi="Times New Roman" w:cs="Times New Roman"/>
                <w:sz w:val="22"/>
              </w:rPr>
              <w:t>–0.42</w:t>
            </w:r>
          </w:p>
        </w:tc>
        <w:tc>
          <w:tcPr>
            <w:tcW w:w="451" w:type="pct"/>
            <w:vAlign w:val="center"/>
            <w:hideMark/>
          </w:tcPr>
          <w:p>
            <w:pPr>
              <w:rPr>
                <w:rFonts w:ascii="Times New Roman" w:hAnsi="Times New Roman" w:cs="Times New Roman"/>
                <w:sz w:val="22"/>
              </w:rPr>
            </w:pPr>
            <w:r>
              <w:rPr>
                <w:rFonts w:ascii="Times New Roman" w:hAnsi="Times New Roman" w:cs="Times New Roman"/>
                <w:sz w:val="22"/>
              </w:rPr>
              <w:t>0.238</w:t>
            </w:r>
          </w:p>
        </w:tc>
        <w:tc>
          <w:tcPr>
            <w:tcW w:w="674" w:type="pct"/>
            <w:vAlign w:val="center"/>
            <w:hideMark/>
          </w:tcPr>
          <w:p>
            <w:pPr>
              <w:rPr>
                <w:rFonts w:ascii="Times New Roman" w:hAnsi="Times New Roman" w:cs="Times New Roman"/>
                <w:sz w:val="22"/>
              </w:rPr>
            </w:pPr>
            <w:r>
              <w:rPr>
                <w:rFonts w:ascii="Times New Roman" w:hAnsi="Times New Roman" w:cs="Times New Roman"/>
                <w:sz w:val="22"/>
              </w:rPr>
              <w:t>3.152</w:t>
            </w:r>
          </w:p>
        </w:tc>
        <w:tc>
          <w:tcPr>
            <w:tcW w:w="635" w:type="pct"/>
            <w:vAlign w:val="center"/>
            <w:hideMark/>
          </w:tcPr>
          <w:p>
            <w:pPr>
              <w:rPr>
                <w:rFonts w:ascii="Times New Roman" w:hAnsi="Times New Roman" w:cs="Times New Roman"/>
                <w:sz w:val="22"/>
              </w:rPr>
            </w:pPr>
            <w:r>
              <w:rPr>
                <w:rFonts w:ascii="Times New Roman" w:hAnsi="Times New Roman" w:cs="Times New Roman"/>
                <w:sz w:val="22"/>
              </w:rPr>
              <w:t>0.076</w:t>
            </w:r>
          </w:p>
        </w:tc>
        <w:tc>
          <w:tcPr>
            <w:tcW w:w="493" w:type="pct"/>
            <w:vAlign w:val="center"/>
            <w:hideMark/>
          </w:tcPr>
          <w:p>
            <w:pPr>
              <w:rPr>
                <w:rFonts w:ascii="Times New Roman" w:hAnsi="Times New Roman" w:cs="Times New Roman"/>
                <w:sz w:val="22"/>
              </w:rPr>
            </w:pPr>
            <w:r>
              <w:rPr>
                <w:rFonts w:ascii="Times New Roman" w:hAnsi="Times New Roman" w:cs="Times New Roman"/>
                <w:sz w:val="22"/>
              </w:rPr>
              <w:t>0.655</w:t>
            </w:r>
          </w:p>
        </w:tc>
        <w:tc>
          <w:tcPr>
            <w:tcW w:w="801" w:type="pct"/>
            <w:vAlign w:val="center"/>
            <w:hideMark/>
          </w:tcPr>
          <w:p>
            <w:pPr>
              <w:rPr>
                <w:rFonts w:ascii="Times New Roman" w:hAnsi="Times New Roman" w:cs="Times New Roman"/>
                <w:sz w:val="22"/>
              </w:rPr>
            </w:pPr>
            <w:r>
              <w:rPr>
                <w:rFonts w:ascii="Times New Roman" w:hAnsi="Times New Roman" w:cs="Times New Roman"/>
                <w:sz w:val="22"/>
              </w:rPr>
              <w:t>0.411–1.045</w:t>
            </w:r>
          </w:p>
        </w:tc>
      </w:tr>
      <w:tr>
        <w:trPr>
          <w:jc w:val="center"/>
          <w:trHeight w:val="515" w:hRule="exact"/>
        </w:trPr>
        <w:tc>
          <w:tcPr>
            <w:tcW w:w="1493" w:type="pct"/>
            <w:vAlign w:val="center"/>
            <w:hideMark/>
          </w:tcPr>
          <w:p>
            <w:pPr>
              <w:rPr>
                <w:rFonts w:ascii="Times New Roman" w:hAnsi="Times New Roman" w:cs="Times New Roman"/>
                <w:sz w:val="22"/>
              </w:rPr>
            </w:pPr>
            <w:r>
              <w:rPr>
                <w:rFonts w:ascii="Times New Roman" w:hAnsi="Times New Roman" w:cs="Times New Roman"/>
                <w:sz w:val="22"/>
              </w:rPr>
              <w:t>Covered by health insurance</w:t>
            </w:r>
          </w:p>
        </w:tc>
        <w:tc>
          <w:tcPr>
            <w:tcW w:w="452" w:type="pct"/>
            <w:vAlign w:val="center"/>
            <w:hideMark/>
          </w:tcPr>
          <w:p>
            <w:pPr>
              <w:rPr>
                <w:rFonts w:ascii="Times New Roman" w:hAnsi="Times New Roman" w:cs="Times New Roman"/>
                <w:sz w:val="22"/>
              </w:rPr>
            </w:pPr>
            <w:r>
              <w:rPr>
                <w:rFonts w:ascii="Times New Roman" w:hAnsi="Times New Roman" w:cs="Times New Roman"/>
                <w:sz w:val="22"/>
              </w:rPr>
              <w:t>–0.97</w:t>
            </w:r>
          </w:p>
        </w:tc>
        <w:tc>
          <w:tcPr>
            <w:tcW w:w="451" w:type="pct"/>
            <w:vAlign w:val="center"/>
            <w:hideMark/>
          </w:tcPr>
          <w:p>
            <w:pPr>
              <w:rPr>
                <w:rFonts w:ascii="Times New Roman" w:hAnsi="Times New Roman" w:cs="Times New Roman"/>
                <w:sz w:val="22"/>
              </w:rPr>
            </w:pPr>
            <w:r>
              <w:rPr>
                <w:rFonts w:ascii="Times New Roman" w:hAnsi="Times New Roman" w:cs="Times New Roman"/>
                <w:sz w:val="22"/>
              </w:rPr>
              <w:t>0.359</w:t>
            </w:r>
          </w:p>
        </w:tc>
        <w:tc>
          <w:tcPr>
            <w:tcW w:w="674" w:type="pct"/>
            <w:vAlign w:val="center"/>
            <w:hideMark/>
          </w:tcPr>
          <w:p>
            <w:pPr>
              <w:rPr>
                <w:rFonts w:ascii="Times New Roman" w:hAnsi="Times New Roman" w:cs="Times New Roman"/>
                <w:sz w:val="22"/>
              </w:rPr>
            </w:pPr>
            <w:r>
              <w:rPr>
                <w:rFonts w:ascii="Times New Roman" w:hAnsi="Times New Roman" w:cs="Times New Roman"/>
                <w:sz w:val="22"/>
              </w:rPr>
              <w:t>7.291</w:t>
            </w:r>
          </w:p>
        </w:tc>
        <w:tc>
          <w:tcPr>
            <w:tcW w:w="635" w:type="pct"/>
            <w:vAlign w:val="center"/>
            <w:hideMark/>
          </w:tcPr>
          <w:p>
            <w:pPr>
              <w:rPr>
                <w:rFonts w:ascii="Times New Roman" w:hAnsi="Times New Roman" w:cs="Times New Roman"/>
                <w:b/>
                <w:bCs/>
                <w:sz w:val="22"/>
              </w:rPr>
            </w:pPr>
            <w:r>
              <w:rPr>
                <w:rFonts w:ascii="Times New Roman" w:hAnsi="Times New Roman" w:cs="Times New Roman"/>
                <w:b/>
                <w:bCs/>
                <w:sz w:val="22"/>
              </w:rPr>
              <w:t>0.007</w:t>
            </w:r>
            <w:r>
              <w:rPr>
                <w:rFonts w:ascii="Times New Roman" w:hAnsi="Times New Roman" w:cs="Times New Roman"/>
                <w:sz w:val="22"/>
              </w:rPr>
              <w:t>**</w:t>
            </w:r>
          </w:p>
        </w:tc>
        <w:tc>
          <w:tcPr>
            <w:tcW w:w="493" w:type="pct"/>
            <w:vAlign w:val="center"/>
            <w:hideMark/>
          </w:tcPr>
          <w:p>
            <w:pPr>
              <w:rPr>
                <w:rFonts w:ascii="Times New Roman" w:hAnsi="Times New Roman" w:cs="Times New Roman"/>
                <w:sz w:val="22"/>
              </w:rPr>
            </w:pPr>
            <w:r>
              <w:rPr>
                <w:rFonts w:ascii="Times New Roman" w:hAnsi="Times New Roman" w:cs="Times New Roman"/>
                <w:sz w:val="22"/>
              </w:rPr>
              <w:t>0.379</w:t>
            </w:r>
          </w:p>
        </w:tc>
        <w:tc>
          <w:tcPr>
            <w:tcW w:w="801" w:type="pct"/>
            <w:vAlign w:val="center"/>
            <w:hideMark/>
          </w:tcPr>
          <w:p>
            <w:pPr>
              <w:rPr>
                <w:rFonts w:ascii="Times New Roman" w:hAnsi="Times New Roman" w:cs="Times New Roman"/>
                <w:sz w:val="22"/>
              </w:rPr>
            </w:pPr>
            <w:r>
              <w:rPr>
                <w:rFonts w:ascii="Times New Roman" w:hAnsi="Times New Roman" w:cs="Times New Roman"/>
                <w:sz w:val="22"/>
              </w:rPr>
              <w:t>0.188–0.767</w:t>
            </w:r>
          </w:p>
        </w:tc>
      </w:tr>
      <w:tr>
        <w:trPr>
          <w:jc w:val="center"/>
          <w:trHeight w:val="509" w:hRule="exact"/>
        </w:trPr>
        <w:tc>
          <w:tcPr>
            <w:tcW w:w="1493" w:type="pct"/>
            <w:vAlign w:val="center"/>
            <w:hideMark/>
          </w:tcPr>
          <w:p>
            <w:pPr>
              <w:rPr>
                <w:rFonts w:ascii="Times New Roman" w:hAnsi="Times New Roman" w:cs="Times New Roman"/>
                <w:sz w:val="22"/>
              </w:rPr>
            </w:pPr>
            <w:r>
              <w:rPr>
                <w:rFonts w:ascii="Times New Roman" w:hAnsi="Times New Roman" w:cs="Times New Roman"/>
                <w:sz w:val="22"/>
              </w:rPr>
              <w:t>Significance of the regression model</w:t>
            </w:r>
          </w:p>
        </w:tc>
        <w:tc>
          <w:tcPr>
            <w:tcW w:w="452" w:type="pct"/>
            <w:vAlign w:val="center"/>
          </w:tcPr>
          <w:p>
            <w:pPr>
              <w:rPr>
                <w:rFonts w:ascii="Times New Roman" w:hAnsi="Times New Roman" w:cs="Times New Roman"/>
                <w:sz w:val="22"/>
              </w:rPr>
            </w:pPr>
          </w:p>
        </w:tc>
        <w:tc>
          <w:tcPr>
            <w:tcW w:w="451" w:type="pct"/>
            <w:vAlign w:val="center"/>
          </w:tcPr>
          <w:p>
            <w:pPr>
              <w:rPr>
                <w:rFonts w:ascii="Times New Roman" w:hAnsi="Times New Roman" w:cs="Times New Roman"/>
                <w:sz w:val="22"/>
              </w:rPr>
            </w:pPr>
          </w:p>
        </w:tc>
        <w:tc>
          <w:tcPr>
            <w:tcW w:w="674" w:type="pct"/>
            <w:vAlign w:val="center"/>
          </w:tcPr>
          <w:p>
            <w:pPr>
              <w:rPr>
                <w:rFonts w:ascii="Times New Roman" w:hAnsi="Times New Roman" w:cs="Times New Roman"/>
                <w:sz w:val="22"/>
              </w:rPr>
            </w:pPr>
          </w:p>
        </w:tc>
        <w:tc>
          <w:tcPr>
            <w:tcW w:w="635" w:type="pct"/>
            <w:vAlign w:val="center"/>
            <w:hideMark/>
          </w:tcPr>
          <w:p>
            <w:pPr>
              <w:rPr>
                <w:rFonts w:ascii="Times New Roman" w:hAnsi="Times New Roman" w:cs="Times New Roman"/>
                <w:b/>
                <w:bCs/>
                <w:sz w:val="22"/>
              </w:rPr>
            </w:pPr>
            <w:r>
              <w:rPr>
                <w:rFonts w:ascii="Times New Roman" w:hAnsi="Times New Roman" w:cs="Times New Roman"/>
                <w:b/>
                <w:bCs/>
                <w:sz w:val="22"/>
              </w:rPr>
              <w:t>&lt;0.001</w:t>
            </w:r>
            <w:r>
              <w:rPr>
                <w:rFonts w:ascii="Times New Roman" w:hAnsi="Times New Roman" w:cs="Times New Roman"/>
                <w:sz w:val="22"/>
              </w:rPr>
              <w:t>***</w:t>
            </w:r>
          </w:p>
        </w:tc>
        <w:tc>
          <w:tcPr>
            <w:tcW w:w="493" w:type="pct"/>
            <w:vAlign w:val="center"/>
          </w:tcPr>
          <w:p>
            <w:pPr>
              <w:rPr>
                <w:rFonts w:ascii="Times New Roman" w:hAnsi="Times New Roman" w:cs="Times New Roman"/>
                <w:sz w:val="22"/>
              </w:rPr>
            </w:pPr>
          </w:p>
        </w:tc>
        <w:tc>
          <w:tcPr>
            <w:tcW w:w="801" w:type="pct"/>
            <w:vAlign w:val="center"/>
          </w:tcPr>
          <w:p>
            <w:pPr>
              <w:rPr>
                <w:rFonts w:ascii="Times New Roman" w:hAnsi="Times New Roman" w:cs="Times New Roman"/>
                <w:sz w:val="22"/>
              </w:rPr>
            </w:pPr>
          </w:p>
        </w:tc>
      </w:tr>
    </w:tbl>
    <w:p>
      <w:pPr>
        <w:rPr>
          <w:rFonts w:ascii="Times New Roman" w:hAnsi="Times New Roman" w:cs="Times New Roman"/>
          <w:sz w:val="22"/>
        </w:rPr>
      </w:pPr>
    </w:p>
    <w:p>
      <w:pPr>
        <w:rPr>
          <w:rFonts w:ascii="Times New Roman" w:hAnsi="Times New Roman" w:cs="Times New Roman"/>
          <w:sz w:val="22"/>
        </w:rPr>
      </w:pPr>
      <w:r>
        <w:rPr>
          <w:rFonts w:ascii="Times New Roman" w:hAnsi="Times New Roman" w:cs="Times New Roman"/>
          <w:b/>
          <w:sz w:val="22"/>
        </w:rPr>
        <w:t>Notes:</w:t>
      </w:r>
      <w:r>
        <w:rPr>
          <w:rFonts w:ascii="Times New Roman" w:hAnsi="Times New Roman" w:cs="Times New Roman"/>
          <w:sz w:val="22"/>
        </w:rPr>
        <w:t xml:space="preserve"> Nagelkerke R</w:t>
      </w:r>
      <w:r>
        <w:rPr>
          <w:rFonts w:ascii="Times New Roman" w:hAnsi="Times New Roman" w:cs="Times New Roman"/>
          <w:sz w:val="22"/>
          <w:vertAlign w:val="superscript"/>
        </w:rPr>
        <w:t>2</w:t>
      </w:r>
      <w:r>
        <w:rPr>
          <w:rFonts w:ascii="Times New Roman" w:hAnsi="Times New Roman" w:cs="Times New Roman"/>
          <w:sz w:val="22"/>
        </w:rPr>
        <w:t xml:space="preserve"> = 0.186 (The regression equation can explain the phenomenon by 18.6%). When the final model predicted the actual data, the predictive value was 64.2%. Logistic regression analysis for compliance with independent variables such as age, hypertension, health insurance coverage, ISI (total score, dissatisfaction with sleep, how noticeable), overall sleep quality in PSQI, ratio of stage N1. </w:t>
      </w:r>
      <w:r>
        <w:rPr>
          <w:rFonts w:ascii="Times New Roman" w:hAnsi="Times New Roman" w:cs="Times New Roman"/>
          <w:sz w:val="28"/>
          <w:vertAlign w:val="superscript"/>
        </w:rPr>
        <w:t>a</w:t>
      </w:r>
      <w:r>
        <w:rPr>
          <w:rFonts w:ascii="Times New Roman" w:hAnsi="Times New Roman" w:cs="Times New Roman"/>
          <w:sz w:val="22"/>
        </w:rPr>
        <w:t>Entered</w:t>
      </w:r>
      <w:r>
        <w:rPr>
          <w:rFonts w:ascii="Times New Roman" w:hAnsi="Times New Roman" w:cs="Times New Roman"/>
          <w:sz w:val="22"/>
        </w:rPr>
        <w:t xml:space="preserve"> as independent variables due to their clinical importance.</w:t>
      </w:r>
      <w:r>
        <w:rPr>
          <w:rFonts w:ascii="Times New Roman" w:hAnsi="Times New Roman" w:cs="Times New Roman"/>
          <w:sz w:val="22"/>
        </w:rPr>
        <w:t xml:space="preserve"> </w:t>
      </w:r>
      <w:r>
        <w:rPr>
          <w:rFonts w:ascii="Times New Roman" w:hAnsi="Times New Roman" w:cs="Times New Roman"/>
          <w:sz w:val="22"/>
        </w:rPr>
        <w:t xml:space="preserve">Bold indicates </w:t>
      </w:r>
      <w:r>
        <w:rPr>
          <w:rFonts w:ascii="Times New Roman" w:eastAsiaTheme="minorHAnsi" w:hAnsi="Times New Roman" w:cs="Times New Roman"/>
          <w:bCs/>
          <w:i/>
          <w:sz w:val="22"/>
          <w:kern w:val="0"/>
        </w:rPr>
        <w:t>P</w:t>
      </w:r>
      <w:r>
        <w:rPr>
          <w:rFonts w:ascii="Times New Roman" w:hAnsi="Times New Roman" w:cs="Times New Roman"/>
          <w:sz w:val="22"/>
        </w:rPr>
        <w:t xml:space="preserve"> &lt; 0.</w:t>
      </w:r>
      <w:r>
        <w:rPr>
          <w:rFonts w:ascii="Times New Roman" w:hAnsi="Times New Roman" w:cs="Times New Roman"/>
          <w:sz w:val="22"/>
        </w:rPr>
        <w:t>05</w:t>
      </w:r>
      <w:r>
        <w:rPr>
          <w:rFonts w:ascii="Times New Roman" w:hAnsi="Times New Roman" w:cs="Times New Roman"/>
          <w:sz w:val="22"/>
        </w:rPr>
        <w:t xml:space="preserve">. </w:t>
      </w:r>
      <w:r>
        <w:rPr>
          <w:rFonts w:ascii="Times New Roman" w:hAnsi="Times New Roman" w:cs="Times New Roman"/>
          <w:sz w:val="22"/>
        </w:rPr>
        <w:t>*</w:t>
      </w:r>
      <w:r>
        <w:rPr>
          <w:rFonts w:ascii="Times New Roman" w:eastAsiaTheme="minorHAnsi" w:hAnsi="Times New Roman" w:cs="Times New Roman"/>
          <w:i/>
          <w:sz w:val="22"/>
          <w:kern w:val="0"/>
        </w:rPr>
        <w:t>P</w:t>
      </w:r>
      <w:r>
        <w:rPr>
          <w:rFonts w:ascii="Times New Roman" w:hAnsi="Times New Roman" w:cs="Times New Roman"/>
          <w:sz w:val="22"/>
        </w:rPr>
        <w:t> &lt; 0.05</w:t>
      </w:r>
      <w:r>
        <w:rPr>
          <w:rFonts w:ascii="Times New Roman" w:hAnsi="Times New Roman" w:cs="Times New Roman"/>
          <w:sz w:val="22"/>
        </w:rPr>
        <w:t>;</w:t>
      </w:r>
      <w:r>
        <w:rPr>
          <w:rFonts w:ascii="Times New Roman" w:hAnsi="Times New Roman" w:cs="Times New Roman"/>
          <w:sz w:val="22"/>
        </w:rPr>
        <w:t> **</w:t>
      </w:r>
      <w:r>
        <w:rPr>
          <w:rFonts w:ascii="Times New Roman" w:eastAsiaTheme="minorHAnsi" w:hAnsi="Times New Roman" w:cs="Times New Roman"/>
          <w:i/>
          <w:sz w:val="22"/>
          <w:kern w:val="0"/>
        </w:rPr>
        <w:t>P</w:t>
      </w:r>
      <w:r>
        <w:rPr>
          <w:rFonts w:ascii="Times New Roman" w:hAnsi="Times New Roman" w:cs="Times New Roman"/>
          <w:sz w:val="22"/>
        </w:rPr>
        <w:t> &lt; 0.01</w:t>
      </w:r>
      <w:r>
        <w:rPr>
          <w:rFonts w:ascii="Times New Roman" w:hAnsi="Times New Roman" w:cs="Times New Roman"/>
          <w:sz w:val="22"/>
        </w:rPr>
        <w:t>;</w:t>
      </w:r>
      <w:r>
        <w:rPr>
          <w:rFonts w:ascii="Times New Roman" w:hAnsi="Times New Roman" w:cs="Times New Roman"/>
          <w:sz w:val="22"/>
        </w:rPr>
        <w:t> ***</w:t>
      </w:r>
      <w:r>
        <w:rPr>
          <w:rFonts w:ascii="Times New Roman" w:eastAsiaTheme="minorHAnsi" w:hAnsi="Times New Roman" w:cs="Times New Roman"/>
          <w:i/>
          <w:sz w:val="22"/>
          <w:kern w:val="0"/>
        </w:rPr>
        <w:t>P</w:t>
      </w:r>
      <w:r>
        <w:rPr>
          <w:rFonts w:ascii="Times New Roman" w:hAnsi="Times New Roman" w:cs="Times New Roman"/>
          <w:sz w:val="22"/>
        </w:rPr>
        <w:t> &lt; 0.001</w:t>
      </w:r>
      <w:r>
        <w:rPr>
          <w:rFonts w:ascii="Times New Roman" w:hAnsi="Times New Roman" w:cs="Times New Roman"/>
          <w:sz w:val="22"/>
        </w:rPr>
        <w:t>.</w:t>
      </w:r>
    </w:p>
    <w:p>
      <w:pPr>
        <w:rPr>
          <w:rFonts w:ascii="Times New Roman" w:hAnsi="Times New Roman" w:cs="Times New Roman"/>
          <w:sz w:val="22"/>
        </w:rPr>
      </w:pPr>
    </w:p>
    <w:p>
      <w:pPr>
        <w:rPr>
          <w:rFonts w:ascii="Times New Roman" w:hAnsi="Times New Roman" w:cs="Times New Roman"/>
          <w:sz w:val="22"/>
        </w:rPr>
      </w:pPr>
      <w:r>
        <w:rPr>
          <w:rFonts w:ascii="Times New Roman" w:hAnsi="Times New Roman" w:cs="Times New Roman"/>
          <w:b/>
          <w:sz w:val="22"/>
        </w:rPr>
        <w:t>Abbreviations:</w:t>
      </w:r>
      <w:r>
        <w:rPr>
          <w:rFonts w:ascii="Times New Roman" w:hAnsi="Times New Roman" w:cs="Times New Roman"/>
          <w:sz w:val="22"/>
        </w:rPr>
        <w:t xml:space="preserve"> CI, confidence interval; CPAP, continuous positive airway pressure; PSQI, Pittsburgh Sleep Quality Inventory; SE, standard error. </w:t>
      </w:r>
    </w:p>
    <w:p>
      <w:pPr>
        <w:rPr>
          <w:rFonts w:ascii="Times New Roman" w:hAnsi="Times New Roman" w:cs="Times New Roman"/>
          <w:sz w:val="22"/>
        </w:rPr>
      </w:pPr>
    </w:p>
    <w:p>
      <w:pPr>
        <w:rPr>
          <w:rFonts w:ascii="Times New Roman" w:hAnsi="Times New Roman" w:cs="Times New Roman"/>
          <w:b/>
          <w:bCs/>
          <w:szCs w:val="20"/>
        </w:rPr>
      </w:pPr>
      <w:bookmarkStart w:id="54" w:name="_Hlk149498729"/>
      <w:r>
        <w:rPr>
          <w:rFonts w:ascii="Times New Roman" w:hAnsi="Times New Roman" w:cs="Times New Roman"/>
          <w:b/>
          <w:bCs/>
          <w:szCs w:val="20"/>
        </w:rPr>
        <w:br w:type="page"/>
      </w:r>
    </w:p>
    <w:p>
      <w:pPr>
        <w:rPr>
          <w:rFonts w:ascii="Times New Roman" w:hAnsi="Times New Roman" w:cs="Times New Roman"/>
          <w:sz w:val="22"/>
        </w:rPr>
      </w:pPr>
      <w:bookmarkStart w:id="55" w:name="_Hlk149524247"/>
      <w:r>
        <w:rPr>
          <w:rFonts w:ascii="Times New Roman" w:hAnsi="Times New Roman" w:cs="Times New Roman"/>
          <w:b/>
          <w:bCs/>
          <w:szCs w:val="20"/>
          <w:highlight w:val="yellow"/>
        </w:rPr>
        <w:t xml:space="preserve">Supplementary </w:t>
      </w:r>
      <w:r>
        <w:rPr>
          <w:rFonts w:ascii="Times New Roman" w:hAnsi="Times New Roman" w:cs="Times New Roman"/>
          <w:b/>
          <w:bCs/>
          <w:sz w:val="22"/>
          <w:highlight w:val="yellow"/>
        </w:rPr>
        <w:t xml:space="preserve">Table </w:t>
      </w:r>
      <w:r>
        <w:rPr>
          <w:rFonts w:ascii="Times New Roman" w:hAnsi="Times New Roman" w:cs="Times New Roman"/>
          <w:b/>
          <w:bCs/>
          <w:sz w:val="22"/>
          <w:highlight w:val="yellow"/>
        </w:rPr>
        <w:t>1.</w:t>
      </w:r>
      <w:r>
        <w:rPr>
          <w:rFonts w:ascii="Times New Roman" w:hAnsi="Times New Roman" w:cs="Times New Roman"/>
          <w:sz w:val="22"/>
          <w:highlight w:val="yellow"/>
        </w:rPr>
        <w:t xml:space="preserve"> </w:t>
      </w:r>
      <w:r>
        <w:rPr>
          <w:rFonts w:ascii="Times New Roman" w:hAnsi="Times New Roman" w:cs="Times New Roman"/>
          <w:bCs/>
          <w:color w:val="0070C0"/>
          <w:sz w:val="22"/>
          <w:highlight w:val="yellow"/>
        </w:rPr>
        <w:t xml:space="preserve">Comparison of self-report questionnaires </w:t>
      </w:r>
      <w:r>
        <w:rPr>
          <w:rFonts w:ascii="Times New Roman" w:hAnsi="Times New Roman" w:cs="Times New Roman"/>
          <w:color w:val="0070C0"/>
          <w:sz w:val="22"/>
          <w:highlight w:val="yellow"/>
        </w:rPr>
        <w:t>between groups according to compliance and insurance coverage status</w:t>
      </w:r>
    </w:p>
    <w:tbl>
      <w:tblPr>
        <w:tblW w:w="5261" w:type="pct"/>
        <w:tblLook w:val="04A0" w:firstRow="1" w:lastRow="0" w:firstColumn="1" w:lastColumn="0" w:noHBand="0" w:noVBand="1"/>
        <w:jc w:val="center"/>
        <w:tblCellMar>
          <w:bottom w:w="57" w:type="dxa"/>
        </w:tblCellMar>
      </w:tblPr>
      <w:tblGrid>
        <w:gridCol w:w="287"/>
        <w:gridCol w:w="1559"/>
        <w:gridCol w:w="1417"/>
        <w:gridCol w:w="1419"/>
        <w:gridCol w:w="1415"/>
        <w:gridCol w:w="1417"/>
        <w:gridCol w:w="1983"/>
      </w:tblGrid>
      <w:tr>
        <w:trPr>
          <w:jc w:val="center"/>
          <w:trHeight w:val="393" w:hRule="atLeast"/>
        </w:trPr>
        <w:tc>
          <w:tcPr>
            <w:tcW w:w="972" w:type="pct"/>
            <w:gridSpan w:val="2"/>
            <w:vMerge w:val="restart"/>
            <w:tcBorders>
              <w:top w:val="single" w:sz="4" w:space="0" w:color="auto"/>
            </w:tcBorders>
            <w:vAlign w:val="center"/>
            <w:hideMark/>
          </w:tcPr>
          <w:p>
            <w:pPr>
              <w:jc w:val="center"/>
              <w:rPr>
                <w:rFonts w:ascii="Times New Roman" w:hAnsi="Times New Roman" w:cs="Times New Roman"/>
                <w:b/>
                <w:bCs/>
                <w:sz w:val="22"/>
              </w:rPr>
            </w:pPr>
            <w:r>
              <w:rPr>
                <w:rFonts w:ascii="Times New Roman" w:hAnsi="Times New Roman" w:cs="Times New Roman"/>
                <w:b/>
                <w:bCs/>
                <w:sz w:val="22"/>
              </w:rPr>
              <w:t>Questionnaire</w:t>
            </w:r>
          </w:p>
        </w:tc>
        <w:tc>
          <w:tcPr>
            <w:tcW w:w="1493" w:type="pct"/>
            <w:gridSpan w:val="2"/>
            <w:tcBorders>
              <w:top w:val="single" w:sz="4" w:space="0" w:color="auto"/>
            </w:tcBorders>
            <w:vAlign w:val="center"/>
            <w:hideMark/>
          </w:tcPr>
          <w:p>
            <w:pPr>
              <w:jc w:val="center"/>
              <w:rPr>
                <w:rFonts w:ascii="Times New Roman" w:hAnsi="Times New Roman" w:cs="Times New Roman"/>
                <w:b/>
                <w:bCs/>
                <w:sz w:val="22"/>
              </w:rPr>
            </w:pPr>
            <w:r>
              <w:rPr>
                <w:rFonts w:ascii="Times New Roman" w:hAnsi="Times New Roman" w:cs="Times New Roman"/>
                <w:b/>
                <w:bCs/>
                <w:sz w:val="22"/>
              </w:rPr>
              <w:t>Compliant</w:t>
            </w:r>
            <w:r>
              <w:rPr>
                <w:rFonts w:ascii="Times New Roman" w:hAnsi="Times New Roman" w:cs="Times New Roman"/>
                <w:b/>
                <w:bCs/>
                <w:sz w:val="22"/>
              </w:rPr>
              <w:t xml:space="preserve"> </w:t>
            </w:r>
            <w:r>
              <w:rPr>
                <w:rFonts w:ascii="Times New Roman" w:hAnsi="Times New Roman" w:cs="Times New Roman"/>
                <w:b/>
                <w:bCs/>
                <w:sz w:val="22"/>
              </w:rPr>
              <w:t>(n = 80)</w:t>
            </w:r>
          </w:p>
        </w:tc>
        <w:tc>
          <w:tcPr>
            <w:tcW w:w="1491" w:type="pct"/>
            <w:gridSpan w:val="2"/>
            <w:tcBorders>
              <w:top w:val="single" w:sz="4" w:space="0" w:color="auto"/>
            </w:tcBorders>
            <w:vAlign w:val="center"/>
            <w:hideMark/>
          </w:tcPr>
          <w:p>
            <w:pPr>
              <w:jc w:val="center"/>
              <w:rPr>
                <w:rFonts w:ascii="Times New Roman" w:hAnsi="Times New Roman" w:cs="Times New Roman"/>
                <w:b/>
                <w:bCs/>
                <w:sz w:val="22"/>
              </w:rPr>
            </w:pPr>
            <w:r>
              <w:rPr>
                <w:rFonts w:ascii="Times New Roman" w:hAnsi="Times New Roman" w:cs="Times New Roman"/>
                <w:b/>
                <w:bCs/>
                <w:sz w:val="22"/>
              </w:rPr>
              <w:t>Non-compliant (n = 108)</w:t>
            </w:r>
          </w:p>
        </w:tc>
        <w:tc>
          <w:tcPr>
            <w:tcW w:w="1044" w:type="pct"/>
            <w:vMerge w:val="restart"/>
            <w:tcBorders>
              <w:top w:val="single" w:sz="4" w:space="0" w:color="auto"/>
            </w:tcBorders>
            <w:vAlign w:val="center"/>
            <w:hideMark/>
          </w:tcPr>
          <w:p>
            <w:pPr>
              <w:jc w:val="center"/>
              <w:rPr>
                <w:rFonts w:ascii="Times New Roman" w:hAnsi="Times New Roman" w:cs="Times New Roman"/>
                <w:b/>
                <w:bCs/>
                <w:sz w:val="22"/>
              </w:rPr>
            </w:pPr>
            <w:r>
              <w:rPr>
                <w:rFonts w:ascii="Times New Roman" w:hAnsi="Times New Roman" w:cs="Times New Roman"/>
                <w:b/>
                <w:bCs/>
                <w:sz w:val="22"/>
              </w:rPr>
              <w:t>Statistics</w:t>
            </w:r>
            <w:r>
              <w:rPr>
                <w:rFonts w:ascii="Times New Roman" w:hAnsi="Times New Roman" w:cs="Times New Roman"/>
                <w:sz w:val="28"/>
                <w:vertAlign w:val="superscript"/>
              </w:rPr>
              <w:t>a</w:t>
            </w:r>
          </w:p>
        </w:tc>
      </w:tr>
      <w:tr>
        <w:trPr>
          <w:jc w:val="center"/>
          <w:trHeight w:val="393" w:hRule="atLeast"/>
        </w:trPr>
        <w:tc>
          <w:tcPr>
            <w:tcW w:w="972" w:type="pct"/>
            <w:gridSpan w:val="2"/>
            <w:vMerge w:val="continue"/>
            <w:tcBorders>
              <w:bottom w:val="single" w:sz="4" w:space="0" w:color="auto"/>
            </w:tcBorders>
            <w:vAlign w:val="center"/>
          </w:tcPr>
          <w:p>
            <w:pPr>
              <w:jc w:val="center"/>
              <w:rPr>
                <w:rFonts w:ascii="Times New Roman" w:hAnsi="Times New Roman" w:cs="Times New Roman"/>
                <w:b/>
                <w:bCs/>
                <w:sz w:val="22"/>
              </w:rPr>
            </w:pPr>
          </w:p>
        </w:tc>
        <w:tc>
          <w:tcPr>
            <w:tcW w:w="746" w:type="pct"/>
            <w:tcBorders>
              <w:bottom w:val="single" w:sz="4" w:space="0" w:color="auto"/>
            </w:tcBorders>
            <w:vAlign w:val="center"/>
          </w:tcPr>
          <w:p>
            <w:pPr>
              <w:jc w:val="center"/>
              <w:rPr>
                <w:rFonts w:ascii="Times New Roman" w:hAnsi="Times New Roman" w:cs="Times New Roman"/>
                <w:color w:val="0070C0"/>
                <w:sz w:val="22"/>
              </w:rPr>
            </w:pPr>
            <w:r>
              <w:rPr>
                <w:rFonts w:ascii="Times New Roman" w:hAnsi="Times New Roman" w:cs="Times New Roman"/>
                <w:color w:val="0070C0"/>
                <w:sz w:val="22"/>
              </w:rPr>
              <w:t>insured</w:t>
            </w:r>
          </w:p>
          <w:p>
            <w:pPr>
              <w:jc w:val="center"/>
              <w:rPr>
                <w:rFonts w:ascii="Times New Roman" w:hAnsi="Times New Roman" w:cs="Times New Roman"/>
                <w:b/>
                <w:bCs/>
                <w:sz w:val="22"/>
              </w:rPr>
            </w:pPr>
            <w:r>
              <w:rPr>
                <w:rFonts w:ascii="Times New Roman" w:hAnsi="Times New Roman" w:cs="Times New Roman"/>
                <w:b/>
                <w:bCs/>
                <w:color w:val="0070C0"/>
                <w:sz w:val="22"/>
              </w:rPr>
              <w:t>(n = 50)</w:t>
            </w:r>
          </w:p>
        </w:tc>
        <w:tc>
          <w:tcPr>
            <w:tcW w:w="747" w:type="pct"/>
            <w:tcBorders>
              <w:bottom w:val="single" w:sz="4" w:space="0" w:color="auto"/>
            </w:tcBorders>
            <w:vAlign w:val="center"/>
          </w:tcPr>
          <w:p>
            <w:pPr>
              <w:jc w:val="center"/>
              <w:rPr>
                <w:rFonts w:ascii="Times New Roman" w:hAnsi="Times New Roman" w:cs="Times New Roman"/>
                <w:color w:val="0070C0"/>
                <w:sz w:val="22"/>
              </w:rPr>
            </w:pPr>
            <w:r>
              <w:rPr>
                <w:rFonts w:ascii="Times New Roman" w:hAnsi="Times New Roman" w:cs="Times New Roman"/>
                <w:color w:val="0070C0"/>
                <w:sz w:val="22"/>
              </w:rPr>
              <w:t>non-insured</w:t>
            </w:r>
          </w:p>
          <w:p>
            <w:pPr>
              <w:jc w:val="center"/>
              <w:rPr>
                <w:rFonts w:ascii="Times New Roman" w:hAnsi="Times New Roman" w:cs="Times New Roman"/>
                <w:b/>
                <w:bCs/>
                <w:sz w:val="22"/>
              </w:rPr>
            </w:pPr>
            <w:r>
              <w:rPr>
                <w:rFonts w:ascii="Times New Roman" w:hAnsi="Times New Roman" w:cs="Times New Roman"/>
                <w:b/>
                <w:bCs/>
                <w:color w:val="0070C0"/>
                <w:sz w:val="22"/>
              </w:rPr>
              <w:t>(n = 30)</w:t>
            </w:r>
          </w:p>
        </w:tc>
        <w:tc>
          <w:tcPr>
            <w:tcW w:w="745" w:type="pct"/>
            <w:tcBorders>
              <w:bottom w:val="single" w:sz="4" w:space="0" w:color="auto"/>
            </w:tcBorders>
            <w:vAlign w:val="center"/>
          </w:tcPr>
          <w:p>
            <w:pPr>
              <w:jc w:val="center"/>
              <w:rPr>
                <w:rFonts w:ascii="Times New Roman" w:hAnsi="Times New Roman" w:cs="Times New Roman"/>
                <w:color w:val="0070C0"/>
                <w:sz w:val="22"/>
              </w:rPr>
            </w:pPr>
            <w:r>
              <w:rPr>
                <w:rFonts w:ascii="Times New Roman" w:hAnsi="Times New Roman" w:cs="Times New Roman"/>
                <w:color w:val="0070C0"/>
                <w:sz w:val="22"/>
              </w:rPr>
              <w:t>insured</w:t>
            </w:r>
          </w:p>
          <w:p>
            <w:pPr>
              <w:jc w:val="center"/>
              <w:rPr>
                <w:rFonts w:ascii="Times New Roman" w:hAnsi="Times New Roman" w:cs="Times New Roman"/>
                <w:b/>
                <w:bCs/>
                <w:sz w:val="22"/>
              </w:rPr>
            </w:pPr>
            <w:r>
              <w:rPr>
                <w:rFonts w:ascii="Times New Roman" w:hAnsi="Times New Roman" w:cs="Times New Roman"/>
                <w:b/>
                <w:bCs/>
                <w:color w:val="0070C0"/>
                <w:sz w:val="22"/>
              </w:rPr>
              <w:t>(n = 46)</w:t>
            </w:r>
          </w:p>
        </w:tc>
        <w:tc>
          <w:tcPr>
            <w:tcW w:w="746" w:type="pct"/>
            <w:tcBorders>
              <w:bottom w:val="single" w:sz="4" w:space="0" w:color="auto"/>
            </w:tcBorders>
            <w:vAlign w:val="center"/>
          </w:tcPr>
          <w:p>
            <w:pPr>
              <w:jc w:val="center"/>
              <w:rPr>
                <w:rFonts w:ascii="Times New Roman" w:hAnsi="Times New Roman" w:cs="Times New Roman"/>
                <w:b/>
                <w:bCs/>
                <w:sz w:val="22"/>
              </w:rPr>
            </w:pPr>
            <w:r>
              <w:rPr>
                <w:rFonts w:ascii="Times New Roman" w:hAnsi="Times New Roman" w:cs="Times New Roman"/>
                <w:color w:val="0070C0"/>
                <w:sz w:val="22"/>
              </w:rPr>
              <w:t xml:space="preserve">non-insured </w:t>
            </w:r>
            <w:r>
              <w:rPr>
                <w:rFonts w:ascii="Times New Roman" w:hAnsi="Times New Roman" w:cs="Times New Roman"/>
                <w:b/>
                <w:bCs/>
                <w:color w:val="0070C0"/>
                <w:sz w:val="22"/>
              </w:rPr>
              <w:t>(n = 62)</w:t>
            </w:r>
          </w:p>
        </w:tc>
        <w:tc>
          <w:tcPr>
            <w:tcW w:w="1044" w:type="pct"/>
            <w:vMerge w:val="continue"/>
            <w:tcBorders>
              <w:bottom w:val="single" w:sz="4" w:space="0" w:color="auto"/>
            </w:tcBorders>
          </w:tcPr>
          <w:p>
            <w:pPr>
              <w:rPr>
                <w:rFonts w:ascii="Times New Roman" w:hAnsi="Times New Roman" w:cs="Times New Roman"/>
                <w:b/>
                <w:bCs/>
                <w:sz w:val="22"/>
              </w:rPr>
            </w:pPr>
          </w:p>
        </w:tc>
      </w:tr>
      <w:tr>
        <w:trPr>
          <w:jc w:val="center"/>
          <w:trHeight w:val="321" w:hRule="atLeast"/>
        </w:trPr>
        <w:tc>
          <w:tcPr>
            <w:tcW w:w="972" w:type="pct"/>
            <w:gridSpan w:val="2"/>
            <w:tcBorders>
              <w:top w:val="single" w:sz="4" w:space="0" w:color="auto"/>
            </w:tcBorders>
            <w:vAlign w:val="center"/>
            <w:hideMark/>
          </w:tcPr>
          <w:p>
            <w:pPr>
              <w:rPr>
                <w:rFonts w:ascii="Times New Roman" w:hAnsi="Times New Roman" w:cs="Times New Roman"/>
                <w:sz w:val="22"/>
              </w:rPr>
            </w:pPr>
            <w:r>
              <w:rPr>
                <w:rFonts w:ascii="Times New Roman" w:hAnsi="Times New Roman" w:cs="Times New Roman"/>
                <w:sz w:val="22"/>
              </w:rPr>
              <w:t>ESS, total score</w:t>
            </w:r>
          </w:p>
        </w:tc>
        <w:tc>
          <w:tcPr>
            <w:tcW w:w="746" w:type="pct"/>
            <w:tcBorders>
              <w:top w:val="single" w:sz="4" w:space="0" w:color="auto"/>
            </w:tcBorders>
            <w:vAlign w:val="center"/>
            <w:hideMark/>
          </w:tcPr>
          <w:p>
            <w:pPr>
              <w:jc w:val="center"/>
              <w:rPr>
                <w:rFonts w:ascii="Times New Roman" w:hAnsi="Times New Roman" w:cs="Times New Roman"/>
                <w:sz w:val="22"/>
              </w:rPr>
            </w:pPr>
            <w:r>
              <w:rPr>
                <w:rFonts w:ascii="Times New Roman" w:hAnsi="Times New Roman" w:cs="Times New Roman"/>
                <w:sz w:val="22"/>
              </w:rPr>
              <w:t>8.6 ± 3.</w:t>
            </w:r>
            <w:r>
              <w:rPr>
                <w:rFonts w:ascii="Times New Roman" w:hAnsi="Times New Roman" w:cs="Times New Roman"/>
                <w:sz w:val="22"/>
              </w:rPr>
              <w:t>8</w:t>
            </w:r>
          </w:p>
        </w:tc>
        <w:tc>
          <w:tcPr>
            <w:tcW w:w="747" w:type="pct"/>
            <w:tcBorders>
              <w:top w:val="single" w:sz="4" w:space="0" w:color="auto"/>
            </w:tcBorders>
            <w:vAlign w:val="center"/>
          </w:tcPr>
          <w:p>
            <w:pPr>
              <w:jc w:val="center"/>
              <w:rPr>
                <w:rFonts w:ascii="Times New Roman" w:hAnsi="Times New Roman" w:cs="Times New Roman"/>
                <w:sz w:val="22"/>
              </w:rPr>
            </w:pPr>
            <w:r>
              <w:rPr>
                <w:rFonts w:ascii="Times New Roman" w:hAnsi="Times New Roman" w:cs="Times New Roman"/>
                <w:sz w:val="22"/>
              </w:rPr>
              <w:t>8.</w:t>
            </w:r>
            <w:r>
              <w:rPr>
                <w:rFonts w:ascii="Times New Roman" w:hAnsi="Times New Roman" w:cs="Times New Roman"/>
                <w:sz w:val="22"/>
              </w:rPr>
              <w:t>6</w:t>
            </w:r>
            <w:r>
              <w:rPr>
                <w:rFonts w:ascii="Times New Roman" w:hAnsi="Times New Roman" w:cs="Times New Roman"/>
                <w:sz w:val="22"/>
              </w:rPr>
              <w:t xml:space="preserve"> ± 3.</w:t>
            </w:r>
            <w:r>
              <w:rPr>
                <w:rFonts w:ascii="Times New Roman" w:hAnsi="Times New Roman" w:cs="Times New Roman"/>
                <w:sz w:val="22"/>
              </w:rPr>
              <w:t>7</w:t>
            </w:r>
          </w:p>
        </w:tc>
        <w:tc>
          <w:tcPr>
            <w:tcW w:w="745" w:type="pct"/>
            <w:tcBorders>
              <w:top w:val="single" w:sz="4" w:space="0" w:color="auto"/>
            </w:tcBorders>
            <w:vAlign w:val="center"/>
            <w:hideMark/>
          </w:tcPr>
          <w:p>
            <w:pPr>
              <w:jc w:val="center"/>
              <w:rPr>
                <w:rFonts w:ascii="Times New Roman" w:hAnsi="Times New Roman" w:cs="Times New Roman"/>
                <w:sz w:val="22"/>
              </w:rPr>
            </w:pPr>
            <w:r>
              <w:rPr>
                <w:rFonts w:ascii="Times New Roman" w:hAnsi="Times New Roman" w:cs="Times New Roman"/>
                <w:sz w:val="22"/>
              </w:rPr>
              <w:t>8.</w:t>
            </w:r>
            <w:r>
              <w:rPr>
                <w:rFonts w:ascii="Times New Roman" w:hAnsi="Times New Roman" w:cs="Times New Roman"/>
                <w:sz w:val="22"/>
              </w:rPr>
              <w:t>1</w:t>
            </w:r>
            <w:r>
              <w:rPr>
                <w:rFonts w:ascii="Times New Roman" w:hAnsi="Times New Roman" w:cs="Times New Roman"/>
                <w:sz w:val="22"/>
              </w:rPr>
              <w:t xml:space="preserve"> ± 3.</w:t>
            </w:r>
            <w:r>
              <w:rPr>
                <w:rFonts w:ascii="Times New Roman" w:hAnsi="Times New Roman" w:cs="Times New Roman"/>
                <w:sz w:val="22"/>
              </w:rPr>
              <w:t>2</w:t>
            </w:r>
          </w:p>
        </w:tc>
        <w:tc>
          <w:tcPr>
            <w:tcW w:w="746" w:type="pct"/>
            <w:tcBorders>
              <w:top w:val="single" w:sz="4" w:space="0" w:color="auto"/>
            </w:tcBorders>
            <w:vAlign w:val="center"/>
          </w:tcPr>
          <w:p>
            <w:pPr>
              <w:jc w:val="center"/>
              <w:rPr>
                <w:rFonts w:ascii="Times New Roman" w:hAnsi="Times New Roman" w:cs="Times New Roman"/>
                <w:i/>
                <w:iCs/>
                <w:sz w:val="22"/>
              </w:rPr>
            </w:pPr>
            <w:r>
              <w:rPr>
                <w:rFonts w:ascii="Times New Roman" w:hAnsi="Times New Roman" w:cs="Times New Roman"/>
                <w:sz w:val="22"/>
              </w:rPr>
              <w:t>8.</w:t>
            </w:r>
            <w:r>
              <w:rPr>
                <w:rFonts w:ascii="Times New Roman" w:hAnsi="Times New Roman" w:cs="Times New Roman"/>
                <w:sz w:val="22"/>
              </w:rPr>
              <w:t>5</w:t>
            </w:r>
            <w:r>
              <w:rPr>
                <w:rFonts w:ascii="Times New Roman" w:hAnsi="Times New Roman" w:cs="Times New Roman"/>
                <w:sz w:val="22"/>
              </w:rPr>
              <w:t xml:space="preserve"> ± 3.</w:t>
            </w:r>
            <w:r>
              <w:rPr>
                <w:rFonts w:ascii="Times New Roman" w:hAnsi="Times New Roman" w:cs="Times New Roman"/>
                <w:sz w:val="22"/>
              </w:rPr>
              <w:t>8</w:t>
            </w:r>
          </w:p>
        </w:tc>
        <w:tc>
          <w:tcPr>
            <w:tcW w:w="1044" w:type="pct"/>
            <w:tcBorders>
              <w:top w:val="single" w:sz="4" w:space="0" w:color="auto"/>
            </w:tcBorders>
            <w:vAlign w:val="center"/>
            <w:hideMark/>
          </w:tcPr>
          <w:p>
            <w:pPr>
              <w:rPr>
                <w:rFonts w:ascii="Times New Roman" w:hAnsi="Times New Roman" w:cs="Times New Roman"/>
                <w:sz w:val="22"/>
              </w:rPr>
            </w:pPr>
            <w:r>
              <w:rPr>
                <w:rFonts w:ascii="Times New Roman" w:hAnsi="Times New Roman" w:cs="Times New Roman"/>
                <w:i/>
                <w:iCs/>
                <w:color w:val="0070C0"/>
                <w:sz w:val="22"/>
              </w:rPr>
              <w:t xml:space="preserve">F </w:t>
            </w:r>
            <w:r>
              <w:rPr>
                <w:rFonts w:ascii="Times New Roman" w:hAnsi="Times New Roman" w:cs="Times New Roman"/>
                <w:color w:val="0070C0"/>
                <w:sz w:val="22"/>
              </w:rPr>
              <w:t xml:space="preserve">= </w:t>
            </w:r>
            <w:r>
              <w:rPr>
                <w:rFonts w:ascii="Times New Roman" w:hAnsi="Times New Roman" w:cs="Times New Roman"/>
                <w:color w:val="0070C0"/>
                <w:sz w:val="22"/>
              </w:rPr>
              <w:t>0.19</w:t>
            </w:r>
            <w:r>
              <w:rPr>
                <w:rFonts w:ascii="Times New Roman" w:hAnsi="Times New Roman" w:cs="Times New Roman"/>
                <w:color w:val="0070C0"/>
                <w:sz w:val="22"/>
              </w:rPr>
              <w:t xml:space="preserve">, </w:t>
            </w:r>
            <w:r>
              <w:rPr>
                <w:rFonts w:ascii="Times New Roman" w:hAnsi="Times New Roman" w:cs="Times New Roman"/>
                <w:i/>
                <w:iCs/>
                <w:color w:val="0070C0"/>
                <w:sz w:val="22"/>
              </w:rPr>
              <w:t>P</w:t>
            </w:r>
            <w:r>
              <w:rPr>
                <w:rFonts w:ascii="Times New Roman" w:hAnsi="Times New Roman" w:cs="Times New Roman"/>
                <w:i/>
                <w:color w:val="0070C0"/>
                <w:sz w:val="22"/>
              </w:rPr>
              <w:t xml:space="preserve"> </w:t>
            </w:r>
            <w:r>
              <w:rPr>
                <w:rFonts w:ascii="Times New Roman" w:hAnsi="Times New Roman" w:cs="Times New Roman"/>
                <w:color w:val="0070C0"/>
                <w:sz w:val="22"/>
              </w:rPr>
              <w:t>= 0.</w:t>
            </w:r>
            <w:r>
              <w:rPr>
                <w:rFonts w:ascii="Times New Roman" w:hAnsi="Times New Roman" w:cs="Times New Roman"/>
                <w:color w:val="0070C0"/>
                <w:sz w:val="22"/>
              </w:rPr>
              <w:t>902</w:t>
            </w:r>
          </w:p>
        </w:tc>
      </w:tr>
      <w:tr>
        <w:trPr>
          <w:jc w:val="center"/>
          <w:trHeight w:val="321" w:hRule="atLeast"/>
        </w:trPr>
        <w:tc>
          <w:tcPr>
            <w:tcW w:w="972" w:type="pct"/>
            <w:gridSpan w:val="2"/>
            <w:vAlign w:val="center"/>
            <w:hideMark/>
          </w:tcPr>
          <w:p>
            <w:pPr>
              <w:rPr>
                <w:rFonts w:ascii="Times New Roman" w:hAnsi="Times New Roman" w:cs="Times New Roman"/>
                <w:sz w:val="22"/>
              </w:rPr>
            </w:pPr>
            <w:r>
              <w:rPr>
                <w:rFonts w:ascii="Times New Roman" w:hAnsi="Times New Roman" w:cs="Times New Roman"/>
                <w:sz w:val="22"/>
              </w:rPr>
              <w:t>BDI, total score</w:t>
            </w:r>
          </w:p>
        </w:tc>
        <w:tc>
          <w:tcPr>
            <w:tcW w:w="746" w:type="pct"/>
            <w:vAlign w:val="center"/>
            <w:hideMark/>
          </w:tcPr>
          <w:p>
            <w:pPr>
              <w:jc w:val="center"/>
              <w:rPr>
                <w:rFonts w:ascii="Times New Roman" w:hAnsi="Times New Roman" w:cs="Times New Roman"/>
                <w:sz w:val="22"/>
              </w:rPr>
            </w:pPr>
            <w:r>
              <w:rPr>
                <w:rFonts w:ascii="Times New Roman" w:hAnsi="Times New Roman" w:cs="Times New Roman"/>
                <w:sz w:val="22"/>
              </w:rPr>
              <w:t>10.</w:t>
            </w:r>
            <w:r>
              <w:rPr>
                <w:rFonts w:ascii="Times New Roman" w:hAnsi="Times New Roman" w:cs="Times New Roman"/>
                <w:sz w:val="22"/>
              </w:rPr>
              <w:t>7</w:t>
            </w:r>
            <w:r>
              <w:rPr>
                <w:rFonts w:ascii="Times New Roman" w:hAnsi="Times New Roman" w:cs="Times New Roman"/>
                <w:sz w:val="22"/>
              </w:rPr>
              <w:t xml:space="preserve"> ± 7.0</w:t>
            </w:r>
          </w:p>
        </w:tc>
        <w:tc>
          <w:tcPr>
            <w:tcW w:w="747" w:type="pct"/>
            <w:vAlign w:val="center"/>
          </w:tcPr>
          <w:p>
            <w:pPr>
              <w:jc w:val="center"/>
              <w:rPr>
                <w:rFonts w:ascii="Times New Roman" w:hAnsi="Times New Roman" w:cs="Times New Roman"/>
                <w:sz w:val="22"/>
              </w:rPr>
            </w:pPr>
            <w:r>
              <w:rPr>
                <w:rFonts w:ascii="Times New Roman" w:hAnsi="Times New Roman" w:cs="Times New Roman"/>
                <w:sz w:val="22"/>
              </w:rPr>
              <w:t>1</w:t>
            </w:r>
            <w:r>
              <w:rPr>
                <w:rFonts w:ascii="Times New Roman" w:hAnsi="Times New Roman" w:cs="Times New Roman"/>
                <w:sz w:val="22"/>
              </w:rPr>
              <w:t>0</w:t>
            </w:r>
            <w:r>
              <w:rPr>
                <w:rFonts w:ascii="Times New Roman" w:hAnsi="Times New Roman" w:cs="Times New Roman"/>
                <w:sz w:val="22"/>
              </w:rPr>
              <w:t>.</w:t>
            </w:r>
            <w:r>
              <w:rPr>
                <w:rFonts w:ascii="Times New Roman" w:hAnsi="Times New Roman" w:cs="Times New Roman"/>
                <w:sz w:val="22"/>
              </w:rPr>
              <w:t>2</w:t>
            </w:r>
            <w:r>
              <w:rPr>
                <w:rFonts w:ascii="Times New Roman" w:hAnsi="Times New Roman" w:cs="Times New Roman"/>
                <w:sz w:val="22"/>
              </w:rPr>
              <w:t xml:space="preserve"> ± </w:t>
            </w:r>
            <w:r>
              <w:rPr>
                <w:rFonts w:ascii="Times New Roman" w:hAnsi="Times New Roman" w:cs="Times New Roman"/>
                <w:sz w:val="22"/>
              </w:rPr>
              <w:t>7</w:t>
            </w:r>
            <w:r>
              <w:rPr>
                <w:rFonts w:ascii="Times New Roman" w:hAnsi="Times New Roman" w:cs="Times New Roman"/>
                <w:sz w:val="22"/>
              </w:rPr>
              <w:t>.</w:t>
            </w:r>
            <w:r>
              <w:rPr>
                <w:rFonts w:ascii="Times New Roman" w:hAnsi="Times New Roman" w:cs="Times New Roman"/>
                <w:sz w:val="22"/>
              </w:rPr>
              <w:t>2</w:t>
            </w:r>
          </w:p>
        </w:tc>
        <w:tc>
          <w:tcPr>
            <w:tcW w:w="745" w:type="pct"/>
            <w:vAlign w:val="center"/>
            <w:hideMark/>
          </w:tcPr>
          <w:p>
            <w:pPr>
              <w:jc w:val="center"/>
              <w:rPr>
                <w:rFonts w:ascii="Times New Roman" w:hAnsi="Times New Roman" w:cs="Times New Roman"/>
                <w:sz w:val="22"/>
              </w:rPr>
            </w:pPr>
            <w:r>
              <w:rPr>
                <w:rFonts w:ascii="Times New Roman" w:hAnsi="Times New Roman" w:cs="Times New Roman"/>
                <w:sz w:val="22"/>
              </w:rPr>
              <w:t>1</w:t>
            </w:r>
            <w:r>
              <w:rPr>
                <w:rFonts w:ascii="Times New Roman" w:hAnsi="Times New Roman" w:cs="Times New Roman"/>
                <w:sz w:val="22"/>
              </w:rPr>
              <w:t>2</w:t>
            </w:r>
            <w:r>
              <w:rPr>
                <w:rFonts w:ascii="Times New Roman" w:hAnsi="Times New Roman" w:cs="Times New Roman"/>
                <w:sz w:val="22"/>
              </w:rPr>
              <w:t>.</w:t>
            </w:r>
            <w:r>
              <w:rPr>
                <w:rFonts w:ascii="Times New Roman" w:hAnsi="Times New Roman" w:cs="Times New Roman"/>
                <w:sz w:val="22"/>
              </w:rPr>
              <w:t>3</w:t>
            </w:r>
            <w:r>
              <w:rPr>
                <w:rFonts w:ascii="Times New Roman" w:hAnsi="Times New Roman" w:cs="Times New Roman"/>
                <w:sz w:val="22"/>
              </w:rPr>
              <w:t xml:space="preserve"> ± </w:t>
            </w:r>
            <w:r>
              <w:rPr>
                <w:rFonts w:ascii="Times New Roman" w:hAnsi="Times New Roman" w:cs="Times New Roman"/>
                <w:sz w:val="22"/>
              </w:rPr>
              <w:t>8</w:t>
            </w:r>
            <w:r>
              <w:rPr>
                <w:rFonts w:ascii="Times New Roman" w:hAnsi="Times New Roman" w:cs="Times New Roman"/>
                <w:sz w:val="22"/>
              </w:rPr>
              <w:t>.</w:t>
            </w:r>
            <w:r>
              <w:rPr>
                <w:rFonts w:ascii="Times New Roman" w:hAnsi="Times New Roman" w:cs="Times New Roman"/>
                <w:sz w:val="22"/>
              </w:rPr>
              <w:t>2</w:t>
            </w:r>
          </w:p>
        </w:tc>
        <w:tc>
          <w:tcPr>
            <w:tcW w:w="746" w:type="pct"/>
            <w:vAlign w:val="center"/>
          </w:tcPr>
          <w:p>
            <w:pPr>
              <w:jc w:val="center"/>
              <w:rPr>
                <w:rFonts w:ascii="Times New Roman" w:hAnsi="Times New Roman" w:cs="Times New Roman"/>
                <w:i/>
                <w:iCs/>
                <w:sz w:val="22"/>
              </w:rPr>
            </w:pPr>
            <w:r>
              <w:rPr>
                <w:rFonts w:ascii="Times New Roman" w:hAnsi="Times New Roman" w:cs="Times New Roman"/>
                <w:sz w:val="22"/>
              </w:rPr>
              <w:t>1</w:t>
            </w:r>
            <w:r>
              <w:rPr>
                <w:rFonts w:ascii="Times New Roman" w:hAnsi="Times New Roman" w:cs="Times New Roman"/>
                <w:sz w:val="22"/>
              </w:rPr>
              <w:t>0</w:t>
            </w:r>
            <w:r>
              <w:rPr>
                <w:rFonts w:ascii="Times New Roman" w:hAnsi="Times New Roman" w:cs="Times New Roman"/>
                <w:sz w:val="22"/>
              </w:rPr>
              <w:t>.</w:t>
            </w:r>
            <w:r>
              <w:rPr>
                <w:rFonts w:ascii="Times New Roman" w:hAnsi="Times New Roman" w:cs="Times New Roman"/>
                <w:sz w:val="22"/>
              </w:rPr>
              <w:t>3</w:t>
            </w:r>
            <w:r>
              <w:rPr>
                <w:rFonts w:ascii="Times New Roman" w:hAnsi="Times New Roman" w:cs="Times New Roman"/>
                <w:sz w:val="22"/>
              </w:rPr>
              <w:t xml:space="preserve"> ± </w:t>
            </w:r>
            <w:r>
              <w:rPr>
                <w:rFonts w:ascii="Times New Roman" w:hAnsi="Times New Roman" w:cs="Times New Roman"/>
                <w:sz w:val="22"/>
              </w:rPr>
              <w:t>7</w:t>
            </w:r>
            <w:r>
              <w:rPr>
                <w:rFonts w:ascii="Times New Roman" w:hAnsi="Times New Roman" w:cs="Times New Roman"/>
                <w:sz w:val="22"/>
              </w:rPr>
              <w:t>.</w:t>
            </w:r>
            <w:r>
              <w:rPr>
                <w:rFonts w:ascii="Times New Roman" w:hAnsi="Times New Roman" w:cs="Times New Roman"/>
                <w:sz w:val="22"/>
              </w:rPr>
              <w:t>5</w:t>
            </w:r>
          </w:p>
        </w:tc>
        <w:tc>
          <w:tcPr>
            <w:tcW w:w="1044" w:type="pct"/>
            <w:vAlign w:val="center"/>
            <w:hideMark/>
          </w:tcPr>
          <w:p>
            <w:pPr>
              <w:rPr>
                <w:rFonts w:ascii="Times New Roman" w:hAnsi="Times New Roman" w:cs="Times New Roman"/>
                <w:sz w:val="22"/>
              </w:rPr>
            </w:pPr>
            <w:r>
              <w:rPr>
                <w:rFonts w:ascii="Times New Roman" w:hAnsi="Times New Roman" w:cs="Times New Roman"/>
                <w:i/>
                <w:iCs/>
                <w:color w:val="0070C0"/>
                <w:sz w:val="22"/>
              </w:rPr>
              <w:t xml:space="preserve">F </w:t>
            </w:r>
            <w:r>
              <w:rPr>
                <w:rFonts w:ascii="Times New Roman" w:hAnsi="Times New Roman" w:cs="Times New Roman"/>
                <w:color w:val="0070C0"/>
                <w:sz w:val="22"/>
              </w:rPr>
              <w:t xml:space="preserve">= </w:t>
            </w:r>
            <w:r>
              <w:rPr>
                <w:rFonts w:ascii="Times New Roman" w:hAnsi="Times New Roman" w:cs="Times New Roman"/>
                <w:color w:val="0070C0"/>
                <w:sz w:val="22"/>
              </w:rPr>
              <w:t>0.83</w:t>
            </w:r>
            <w:r>
              <w:rPr>
                <w:rFonts w:ascii="Times New Roman" w:hAnsi="Times New Roman" w:cs="Times New Roman"/>
                <w:color w:val="0070C0"/>
                <w:sz w:val="22"/>
              </w:rPr>
              <w:t xml:space="preserve">, </w:t>
            </w:r>
            <w:r>
              <w:rPr>
                <w:rFonts w:ascii="Times New Roman" w:hAnsi="Times New Roman" w:cs="Times New Roman"/>
                <w:i/>
                <w:iCs/>
                <w:color w:val="0070C0"/>
                <w:sz w:val="22"/>
              </w:rPr>
              <w:t>P</w:t>
            </w:r>
            <w:r>
              <w:rPr>
                <w:rFonts w:ascii="Times New Roman" w:hAnsi="Times New Roman" w:cs="Times New Roman"/>
                <w:i/>
                <w:color w:val="0070C0"/>
                <w:sz w:val="22"/>
              </w:rPr>
              <w:t xml:space="preserve"> </w:t>
            </w:r>
            <w:r>
              <w:rPr>
                <w:rFonts w:ascii="Times New Roman" w:hAnsi="Times New Roman" w:cs="Times New Roman"/>
                <w:color w:val="0070C0"/>
                <w:sz w:val="22"/>
              </w:rPr>
              <w:t>= 0.</w:t>
            </w:r>
            <w:r>
              <w:rPr>
                <w:rFonts w:ascii="Times New Roman" w:hAnsi="Times New Roman" w:cs="Times New Roman"/>
                <w:color w:val="0070C0"/>
                <w:sz w:val="22"/>
              </w:rPr>
              <w:t>480</w:t>
            </w:r>
          </w:p>
        </w:tc>
      </w:tr>
      <w:tr>
        <w:trPr>
          <w:jc w:val="center"/>
          <w:trHeight w:val="321" w:hRule="atLeast"/>
        </w:trPr>
        <w:tc>
          <w:tcPr>
            <w:tcW w:w="972" w:type="pct"/>
            <w:gridSpan w:val="2"/>
            <w:vAlign w:val="center"/>
            <w:hideMark/>
          </w:tcPr>
          <w:p>
            <w:pPr>
              <w:rPr>
                <w:rFonts w:ascii="Times New Roman" w:hAnsi="Times New Roman" w:cs="Times New Roman"/>
                <w:sz w:val="22"/>
              </w:rPr>
            </w:pPr>
            <w:r>
              <w:rPr>
                <w:rFonts w:ascii="Times New Roman" w:hAnsi="Times New Roman" w:cs="Times New Roman"/>
                <w:sz w:val="22"/>
              </w:rPr>
              <w:t>Insomnia severity index</w:t>
            </w:r>
            <w:r>
              <w:rPr>
                <w:rFonts w:ascii="Times New Roman" w:hAnsi="Times New Roman" w:cs="Times New Roman"/>
                <w:sz w:val="22"/>
              </w:rPr>
              <w:t>, t</w:t>
            </w:r>
            <w:r>
              <w:rPr>
                <w:rFonts w:ascii="Times New Roman" w:hAnsi="Times New Roman" w:cs="Times New Roman"/>
                <w:sz w:val="22"/>
              </w:rPr>
              <w:t>otal score</w:t>
            </w:r>
          </w:p>
        </w:tc>
        <w:tc>
          <w:tcPr>
            <w:tcW w:w="746" w:type="pct"/>
            <w:vAlign w:val="center"/>
          </w:tcPr>
          <w:p>
            <w:pPr>
              <w:jc w:val="center"/>
              <w:rPr>
                <w:rFonts w:ascii="Times New Roman" w:hAnsi="Times New Roman" w:cs="Times New Roman"/>
                <w:sz w:val="22"/>
              </w:rPr>
            </w:pPr>
            <w:r>
              <w:rPr>
                <w:rFonts w:ascii="Times New Roman" w:hAnsi="Times New Roman" w:cs="Times New Roman"/>
                <w:sz w:val="22"/>
              </w:rPr>
              <w:t>1</w:t>
            </w:r>
            <w:r>
              <w:rPr>
                <w:rFonts w:ascii="Times New Roman" w:hAnsi="Times New Roman" w:cs="Times New Roman"/>
                <w:sz w:val="22"/>
              </w:rPr>
              <w:t>4</w:t>
            </w:r>
            <w:r>
              <w:rPr>
                <w:rFonts w:ascii="Times New Roman" w:hAnsi="Times New Roman" w:cs="Times New Roman"/>
                <w:sz w:val="22"/>
              </w:rPr>
              <w:t>.</w:t>
            </w:r>
            <w:r>
              <w:rPr>
                <w:rFonts w:ascii="Times New Roman" w:hAnsi="Times New Roman" w:cs="Times New Roman"/>
                <w:sz w:val="22"/>
              </w:rPr>
              <w:t>4</w:t>
            </w:r>
            <w:r>
              <w:rPr>
                <w:rFonts w:ascii="Times New Roman" w:hAnsi="Times New Roman" w:cs="Times New Roman"/>
                <w:sz w:val="22"/>
              </w:rPr>
              <w:t xml:space="preserve"> ± </w:t>
            </w:r>
            <w:r>
              <w:rPr>
                <w:rFonts w:ascii="Times New Roman" w:hAnsi="Times New Roman" w:cs="Times New Roman"/>
                <w:sz w:val="22"/>
              </w:rPr>
              <w:t>6</w:t>
            </w:r>
            <w:r>
              <w:rPr>
                <w:rFonts w:ascii="Times New Roman" w:hAnsi="Times New Roman" w:cs="Times New Roman"/>
                <w:sz w:val="22"/>
              </w:rPr>
              <w:t>.</w:t>
            </w:r>
            <w:r>
              <w:rPr>
                <w:rFonts w:ascii="Times New Roman" w:hAnsi="Times New Roman" w:cs="Times New Roman"/>
                <w:sz w:val="22"/>
              </w:rPr>
              <w:t>2</w:t>
            </w:r>
          </w:p>
        </w:tc>
        <w:tc>
          <w:tcPr>
            <w:tcW w:w="747" w:type="pct"/>
            <w:vAlign w:val="center"/>
          </w:tcPr>
          <w:p>
            <w:pPr>
              <w:jc w:val="center"/>
              <w:rPr>
                <w:rFonts w:ascii="Times New Roman" w:hAnsi="Times New Roman" w:cs="Times New Roman"/>
                <w:sz w:val="22"/>
              </w:rPr>
            </w:pPr>
            <w:r>
              <w:rPr>
                <w:rFonts w:ascii="Times New Roman" w:hAnsi="Times New Roman" w:cs="Times New Roman"/>
                <w:sz w:val="22"/>
              </w:rPr>
              <w:t>1</w:t>
            </w:r>
            <w:r>
              <w:rPr>
                <w:rFonts w:ascii="Times New Roman" w:hAnsi="Times New Roman" w:cs="Times New Roman"/>
                <w:sz w:val="22"/>
              </w:rPr>
              <w:t>3</w:t>
            </w:r>
            <w:r>
              <w:rPr>
                <w:rFonts w:ascii="Times New Roman" w:hAnsi="Times New Roman" w:cs="Times New Roman"/>
                <w:sz w:val="22"/>
              </w:rPr>
              <w:t>.</w:t>
            </w:r>
            <w:r>
              <w:rPr>
                <w:rFonts w:ascii="Times New Roman" w:hAnsi="Times New Roman" w:cs="Times New Roman"/>
                <w:sz w:val="22"/>
              </w:rPr>
              <w:t>7</w:t>
            </w:r>
            <w:r>
              <w:rPr>
                <w:rFonts w:ascii="Times New Roman" w:hAnsi="Times New Roman" w:cs="Times New Roman"/>
                <w:sz w:val="22"/>
              </w:rPr>
              <w:t xml:space="preserve"> ± </w:t>
            </w:r>
            <w:r>
              <w:rPr>
                <w:rFonts w:ascii="Times New Roman" w:hAnsi="Times New Roman" w:cs="Times New Roman"/>
                <w:sz w:val="22"/>
              </w:rPr>
              <w:t>4</w:t>
            </w:r>
            <w:r>
              <w:rPr>
                <w:rFonts w:ascii="Times New Roman" w:hAnsi="Times New Roman" w:cs="Times New Roman"/>
                <w:sz w:val="22"/>
              </w:rPr>
              <w:t>.</w:t>
            </w:r>
            <w:r>
              <w:rPr>
                <w:rFonts w:ascii="Times New Roman" w:hAnsi="Times New Roman" w:cs="Times New Roman"/>
                <w:sz w:val="22"/>
              </w:rPr>
              <w:t>4</w:t>
            </w:r>
          </w:p>
        </w:tc>
        <w:tc>
          <w:tcPr>
            <w:tcW w:w="745" w:type="pct"/>
            <w:vAlign w:val="center"/>
          </w:tcPr>
          <w:p>
            <w:pPr>
              <w:jc w:val="center"/>
              <w:rPr>
                <w:rFonts w:ascii="Times New Roman" w:hAnsi="Times New Roman" w:cs="Times New Roman"/>
                <w:sz w:val="22"/>
              </w:rPr>
            </w:pPr>
            <w:r>
              <w:rPr>
                <w:rFonts w:ascii="Times New Roman" w:hAnsi="Times New Roman" w:cs="Times New Roman"/>
                <w:sz w:val="22"/>
              </w:rPr>
              <w:t>1</w:t>
            </w:r>
            <w:r>
              <w:rPr>
                <w:rFonts w:ascii="Times New Roman" w:hAnsi="Times New Roman" w:cs="Times New Roman"/>
                <w:sz w:val="22"/>
              </w:rPr>
              <w:t>6</w:t>
            </w:r>
            <w:r>
              <w:rPr>
                <w:rFonts w:ascii="Times New Roman" w:hAnsi="Times New Roman" w:cs="Times New Roman"/>
                <w:sz w:val="22"/>
              </w:rPr>
              <w:t>.</w:t>
            </w:r>
            <w:r>
              <w:rPr>
                <w:rFonts w:ascii="Times New Roman" w:hAnsi="Times New Roman" w:cs="Times New Roman"/>
                <w:sz w:val="22"/>
              </w:rPr>
              <w:t>8</w:t>
            </w:r>
            <w:r>
              <w:rPr>
                <w:rFonts w:ascii="Times New Roman" w:hAnsi="Times New Roman" w:cs="Times New Roman"/>
                <w:sz w:val="22"/>
              </w:rPr>
              <w:t xml:space="preserve"> ± </w:t>
            </w:r>
            <w:r>
              <w:rPr>
                <w:rFonts w:ascii="Times New Roman" w:hAnsi="Times New Roman" w:cs="Times New Roman"/>
                <w:sz w:val="22"/>
              </w:rPr>
              <w:t>5</w:t>
            </w:r>
            <w:r>
              <w:rPr>
                <w:rFonts w:ascii="Times New Roman" w:hAnsi="Times New Roman" w:cs="Times New Roman"/>
                <w:sz w:val="22"/>
              </w:rPr>
              <w:t>.</w:t>
            </w:r>
            <w:r>
              <w:rPr>
                <w:rFonts w:ascii="Times New Roman" w:hAnsi="Times New Roman" w:cs="Times New Roman"/>
                <w:sz w:val="22"/>
              </w:rPr>
              <w:t>9</w:t>
            </w:r>
          </w:p>
        </w:tc>
        <w:tc>
          <w:tcPr>
            <w:tcW w:w="746" w:type="pct"/>
            <w:vAlign w:val="center"/>
          </w:tcPr>
          <w:p>
            <w:pPr>
              <w:jc w:val="center"/>
              <w:rPr>
                <w:rFonts w:ascii="Times New Roman" w:hAnsi="Times New Roman" w:cs="Times New Roman"/>
                <w:sz w:val="22"/>
              </w:rPr>
            </w:pPr>
            <w:r>
              <w:rPr>
                <w:rFonts w:ascii="Times New Roman" w:hAnsi="Times New Roman" w:cs="Times New Roman"/>
                <w:sz w:val="22"/>
              </w:rPr>
              <w:t>1</w:t>
            </w:r>
            <w:r>
              <w:rPr>
                <w:rFonts w:ascii="Times New Roman" w:hAnsi="Times New Roman" w:cs="Times New Roman"/>
                <w:sz w:val="22"/>
              </w:rPr>
              <w:t>4</w:t>
            </w:r>
            <w:r>
              <w:rPr>
                <w:rFonts w:ascii="Times New Roman" w:hAnsi="Times New Roman" w:cs="Times New Roman"/>
                <w:sz w:val="22"/>
              </w:rPr>
              <w:t>.</w:t>
            </w:r>
            <w:r>
              <w:rPr>
                <w:rFonts w:ascii="Times New Roman" w:hAnsi="Times New Roman" w:cs="Times New Roman"/>
                <w:sz w:val="22"/>
              </w:rPr>
              <w:t>7</w:t>
            </w:r>
            <w:r>
              <w:rPr>
                <w:rFonts w:ascii="Times New Roman" w:hAnsi="Times New Roman" w:cs="Times New Roman"/>
                <w:sz w:val="22"/>
              </w:rPr>
              <w:t xml:space="preserve"> ± </w:t>
            </w:r>
            <w:r>
              <w:rPr>
                <w:rFonts w:ascii="Times New Roman" w:hAnsi="Times New Roman" w:cs="Times New Roman"/>
                <w:sz w:val="22"/>
              </w:rPr>
              <w:t>5</w:t>
            </w:r>
            <w:r>
              <w:rPr>
                <w:rFonts w:ascii="Times New Roman" w:hAnsi="Times New Roman" w:cs="Times New Roman"/>
                <w:sz w:val="22"/>
              </w:rPr>
              <w:t>.</w:t>
            </w:r>
            <w:r>
              <w:rPr>
                <w:rFonts w:ascii="Times New Roman" w:hAnsi="Times New Roman" w:cs="Times New Roman"/>
                <w:sz w:val="22"/>
              </w:rPr>
              <w:t>3</w:t>
            </w:r>
          </w:p>
        </w:tc>
        <w:tc>
          <w:tcPr>
            <w:tcW w:w="1044" w:type="pct"/>
            <w:vAlign w:val="center"/>
          </w:tcPr>
          <w:p>
            <w:pPr>
              <w:rPr>
                <w:rFonts w:ascii="Times New Roman" w:hAnsi="Times New Roman" w:cs="Times New Roman"/>
                <w:sz w:val="22"/>
              </w:rPr>
            </w:pPr>
            <w:r>
              <w:rPr>
                <w:rFonts w:ascii="Times New Roman" w:hAnsi="Times New Roman" w:cs="Times New Roman"/>
                <w:i/>
                <w:iCs/>
                <w:color w:val="0070C0"/>
                <w:sz w:val="22"/>
              </w:rPr>
              <w:t xml:space="preserve">F </w:t>
            </w:r>
            <w:r>
              <w:rPr>
                <w:rFonts w:ascii="Times New Roman" w:hAnsi="Times New Roman" w:cs="Times New Roman"/>
                <w:color w:val="0070C0"/>
                <w:sz w:val="22"/>
              </w:rPr>
              <w:t xml:space="preserve">= </w:t>
            </w:r>
            <w:r>
              <w:rPr>
                <w:rFonts w:ascii="Times New Roman" w:hAnsi="Times New Roman" w:cs="Times New Roman"/>
                <w:color w:val="0070C0"/>
                <w:sz w:val="22"/>
              </w:rPr>
              <w:t>2.17</w:t>
            </w:r>
            <w:r>
              <w:rPr>
                <w:rFonts w:ascii="Times New Roman" w:hAnsi="Times New Roman" w:cs="Times New Roman"/>
                <w:color w:val="0070C0"/>
                <w:sz w:val="22"/>
              </w:rPr>
              <w:t xml:space="preserve">, </w:t>
            </w:r>
            <w:r>
              <w:rPr>
                <w:rFonts w:ascii="Times New Roman" w:hAnsi="Times New Roman" w:cs="Times New Roman"/>
                <w:i/>
                <w:iCs/>
                <w:color w:val="0070C0"/>
                <w:sz w:val="22"/>
              </w:rPr>
              <w:t>P</w:t>
            </w:r>
            <w:r>
              <w:rPr>
                <w:rFonts w:ascii="Times New Roman" w:hAnsi="Times New Roman" w:cs="Times New Roman"/>
                <w:i/>
                <w:color w:val="0070C0"/>
                <w:sz w:val="22"/>
              </w:rPr>
              <w:t xml:space="preserve"> </w:t>
            </w:r>
            <w:r>
              <w:rPr>
                <w:rFonts w:ascii="Times New Roman" w:hAnsi="Times New Roman" w:cs="Times New Roman"/>
                <w:color w:val="0070C0"/>
                <w:sz w:val="22"/>
              </w:rPr>
              <w:t>= 0.</w:t>
            </w:r>
            <w:r>
              <w:rPr>
                <w:rFonts w:ascii="Times New Roman" w:hAnsi="Times New Roman" w:cs="Times New Roman"/>
                <w:color w:val="0070C0"/>
                <w:sz w:val="22"/>
              </w:rPr>
              <w:t>094</w:t>
            </w:r>
          </w:p>
        </w:tc>
      </w:tr>
      <w:tr>
        <w:trPr>
          <w:jc w:val="center"/>
          <w:trHeight w:val="469" w:hRule="exact"/>
        </w:trPr>
        <w:tc>
          <w:tcPr>
            <w:tcW w:w="972" w:type="pct"/>
            <w:gridSpan w:val="2"/>
            <w:vAlign w:val="center"/>
            <w:hideMark/>
          </w:tcPr>
          <w:p>
            <w:pPr>
              <w:rPr>
                <w:rFonts w:ascii="Times New Roman" w:hAnsi="Times New Roman" w:cs="Times New Roman"/>
                <w:iCs/>
                <w:sz w:val="22"/>
              </w:rPr>
            </w:pPr>
            <w:r>
              <w:rPr>
                <w:rFonts w:ascii="Times New Roman" w:hAnsi="Times New Roman" w:cs="Times New Roman"/>
                <w:iCs/>
                <w:sz w:val="22"/>
              </w:rPr>
              <w:t>PSQI</w:t>
            </w:r>
          </w:p>
        </w:tc>
        <w:tc>
          <w:tcPr>
            <w:tcW w:w="746" w:type="pct"/>
            <w:vAlign w:val="center"/>
          </w:tcPr>
          <w:p>
            <w:pPr>
              <w:rPr>
                <w:rFonts w:ascii="Times New Roman" w:hAnsi="Times New Roman" w:cs="Times New Roman"/>
                <w:sz w:val="22"/>
              </w:rPr>
            </w:pPr>
          </w:p>
        </w:tc>
        <w:tc>
          <w:tcPr>
            <w:tcW w:w="747" w:type="pct"/>
          </w:tcPr>
          <w:p>
            <w:pPr>
              <w:rPr>
                <w:rFonts w:ascii="Times New Roman" w:hAnsi="Times New Roman" w:cs="Times New Roman"/>
                <w:sz w:val="22"/>
              </w:rPr>
            </w:pPr>
          </w:p>
        </w:tc>
        <w:tc>
          <w:tcPr>
            <w:tcW w:w="745" w:type="pct"/>
            <w:vAlign w:val="center"/>
          </w:tcPr>
          <w:p>
            <w:pPr>
              <w:rPr>
                <w:rFonts w:ascii="Times New Roman" w:hAnsi="Times New Roman" w:cs="Times New Roman"/>
                <w:sz w:val="22"/>
              </w:rPr>
            </w:pPr>
          </w:p>
        </w:tc>
        <w:tc>
          <w:tcPr>
            <w:tcW w:w="746" w:type="pct"/>
          </w:tcPr>
          <w:p>
            <w:pPr>
              <w:rPr>
                <w:rFonts w:ascii="Times New Roman" w:hAnsi="Times New Roman" w:cs="Times New Roman"/>
                <w:sz w:val="22"/>
              </w:rPr>
            </w:pPr>
          </w:p>
        </w:tc>
        <w:tc>
          <w:tcPr>
            <w:tcW w:w="1044" w:type="pct"/>
            <w:vAlign w:val="center"/>
          </w:tcPr>
          <w:p>
            <w:pPr>
              <w:rPr>
                <w:rFonts w:ascii="Times New Roman" w:hAnsi="Times New Roman" w:cs="Times New Roman"/>
                <w:sz w:val="22"/>
              </w:rPr>
            </w:pPr>
          </w:p>
        </w:tc>
      </w:tr>
      <w:tr>
        <w:trPr>
          <w:jc w:val="center"/>
          <w:trHeight w:val="380" w:hRule="atLeast"/>
        </w:trPr>
        <w:tc>
          <w:tcPr>
            <w:tcW w:w="151" w:type="pct"/>
            <w:vAlign w:val="center"/>
          </w:tcPr>
          <w:p>
            <w:pPr>
              <w:rPr>
                <w:rFonts w:ascii="Times New Roman" w:hAnsi="Times New Roman" w:cs="Times New Roman"/>
                <w:sz w:val="22"/>
              </w:rPr>
            </w:pPr>
          </w:p>
        </w:tc>
        <w:tc>
          <w:tcPr>
            <w:tcW w:w="821" w:type="pct"/>
            <w:vAlign w:val="center"/>
            <w:hideMark/>
          </w:tcPr>
          <w:p>
            <w:pPr>
              <w:rPr>
                <w:rFonts w:ascii="Times New Roman" w:hAnsi="Times New Roman" w:cs="Times New Roman"/>
                <w:sz w:val="22"/>
              </w:rPr>
            </w:pPr>
            <w:r>
              <w:rPr>
                <w:rFonts w:ascii="Times New Roman" w:hAnsi="Times New Roman" w:cs="Times New Roman"/>
                <w:sz w:val="22"/>
              </w:rPr>
              <w:t>PSQI, total score</w:t>
            </w:r>
          </w:p>
        </w:tc>
        <w:tc>
          <w:tcPr>
            <w:tcW w:w="746" w:type="pct"/>
            <w:vAlign w:val="center"/>
            <w:hideMark/>
          </w:tcPr>
          <w:p>
            <w:pPr>
              <w:jc w:val="center"/>
              <w:rPr>
                <w:rFonts w:ascii="Times New Roman" w:hAnsi="Times New Roman" w:cs="Times New Roman"/>
                <w:sz w:val="22"/>
              </w:rPr>
            </w:pPr>
            <w:r>
              <w:rPr>
                <w:rFonts w:ascii="Times New Roman" w:hAnsi="Times New Roman" w:cs="Times New Roman"/>
                <w:sz w:val="22"/>
              </w:rPr>
              <w:t>8</w:t>
            </w:r>
            <w:r>
              <w:rPr>
                <w:rFonts w:ascii="Times New Roman" w:hAnsi="Times New Roman" w:cs="Times New Roman"/>
                <w:sz w:val="22"/>
              </w:rPr>
              <w:t>.</w:t>
            </w:r>
            <w:r>
              <w:rPr>
                <w:rFonts w:ascii="Times New Roman" w:hAnsi="Times New Roman" w:cs="Times New Roman"/>
                <w:sz w:val="22"/>
              </w:rPr>
              <w:t>1</w:t>
            </w:r>
            <w:r>
              <w:rPr>
                <w:rFonts w:ascii="Times New Roman" w:hAnsi="Times New Roman" w:cs="Times New Roman"/>
                <w:sz w:val="22"/>
              </w:rPr>
              <w:t xml:space="preserve"> ± 2.</w:t>
            </w:r>
            <w:r>
              <w:rPr>
                <w:rFonts w:ascii="Times New Roman" w:hAnsi="Times New Roman" w:cs="Times New Roman"/>
                <w:sz w:val="22"/>
              </w:rPr>
              <w:t>8</w:t>
            </w:r>
          </w:p>
        </w:tc>
        <w:tc>
          <w:tcPr>
            <w:tcW w:w="747" w:type="pct"/>
            <w:vAlign w:val="center"/>
          </w:tcPr>
          <w:p>
            <w:pPr>
              <w:jc w:val="center"/>
              <w:rPr>
                <w:rFonts w:ascii="Times New Roman" w:hAnsi="Times New Roman" w:cs="Times New Roman"/>
                <w:sz w:val="22"/>
              </w:rPr>
            </w:pPr>
            <w:r>
              <w:rPr>
                <w:rFonts w:ascii="Times New Roman" w:hAnsi="Times New Roman" w:cs="Times New Roman"/>
                <w:sz w:val="22"/>
              </w:rPr>
              <w:t>7.8</w:t>
            </w:r>
            <w:r>
              <w:rPr>
                <w:rFonts w:ascii="Times New Roman" w:hAnsi="Times New Roman" w:cs="Times New Roman"/>
                <w:sz w:val="22"/>
              </w:rPr>
              <w:t xml:space="preserve"> ± 3.</w:t>
            </w:r>
            <w:r>
              <w:rPr>
                <w:rFonts w:ascii="Times New Roman" w:hAnsi="Times New Roman" w:cs="Times New Roman"/>
                <w:sz w:val="22"/>
              </w:rPr>
              <w:t>1</w:t>
            </w:r>
          </w:p>
        </w:tc>
        <w:tc>
          <w:tcPr>
            <w:tcW w:w="745" w:type="pct"/>
            <w:vAlign w:val="center"/>
            <w:hideMark/>
          </w:tcPr>
          <w:p>
            <w:pPr>
              <w:jc w:val="center"/>
              <w:rPr>
                <w:rFonts w:ascii="Times New Roman" w:hAnsi="Times New Roman" w:cs="Times New Roman"/>
                <w:sz w:val="22"/>
              </w:rPr>
            </w:pPr>
            <w:r>
              <w:rPr>
                <w:rFonts w:ascii="Times New Roman" w:hAnsi="Times New Roman" w:cs="Times New Roman"/>
                <w:sz w:val="22"/>
              </w:rPr>
              <w:t>9.0</w:t>
            </w:r>
            <w:r>
              <w:rPr>
                <w:rFonts w:ascii="Times New Roman" w:hAnsi="Times New Roman" w:cs="Times New Roman"/>
                <w:sz w:val="22"/>
              </w:rPr>
              <w:t xml:space="preserve"> ± 3.</w:t>
            </w:r>
            <w:r>
              <w:rPr>
                <w:rFonts w:ascii="Times New Roman" w:hAnsi="Times New Roman" w:cs="Times New Roman"/>
                <w:sz w:val="22"/>
              </w:rPr>
              <w:t>8</w:t>
            </w:r>
          </w:p>
        </w:tc>
        <w:tc>
          <w:tcPr>
            <w:tcW w:w="746" w:type="pct"/>
            <w:vAlign w:val="center"/>
          </w:tcPr>
          <w:p>
            <w:pPr>
              <w:jc w:val="center"/>
              <w:rPr>
                <w:rFonts w:ascii="Times New Roman" w:hAnsi="Times New Roman" w:cs="Times New Roman"/>
                <w:i/>
                <w:iCs/>
                <w:sz w:val="22"/>
              </w:rPr>
            </w:pPr>
            <w:r>
              <w:rPr>
                <w:rFonts w:ascii="Times New Roman" w:hAnsi="Times New Roman" w:cs="Times New Roman"/>
                <w:sz w:val="22"/>
              </w:rPr>
              <w:t>7.6</w:t>
            </w:r>
            <w:r>
              <w:rPr>
                <w:rFonts w:ascii="Times New Roman" w:hAnsi="Times New Roman" w:cs="Times New Roman"/>
                <w:sz w:val="22"/>
              </w:rPr>
              <w:t xml:space="preserve"> ± </w:t>
            </w:r>
            <w:r>
              <w:rPr>
                <w:rFonts w:ascii="Times New Roman" w:hAnsi="Times New Roman" w:cs="Times New Roman"/>
                <w:sz w:val="22"/>
              </w:rPr>
              <w:t>2</w:t>
            </w:r>
            <w:r>
              <w:rPr>
                <w:rFonts w:ascii="Times New Roman" w:hAnsi="Times New Roman" w:cs="Times New Roman"/>
                <w:sz w:val="22"/>
              </w:rPr>
              <w:t>.</w:t>
            </w:r>
            <w:r>
              <w:rPr>
                <w:rFonts w:ascii="Times New Roman" w:hAnsi="Times New Roman" w:cs="Times New Roman"/>
                <w:sz w:val="22"/>
              </w:rPr>
              <w:t>9</w:t>
            </w:r>
          </w:p>
        </w:tc>
        <w:tc>
          <w:tcPr>
            <w:tcW w:w="1044" w:type="pct"/>
            <w:vAlign w:val="center"/>
            <w:hideMark/>
          </w:tcPr>
          <w:p>
            <w:pPr>
              <w:rPr>
                <w:rFonts w:ascii="Times New Roman" w:hAnsi="Times New Roman" w:cs="Times New Roman"/>
                <w:sz w:val="22"/>
              </w:rPr>
            </w:pPr>
            <w:r>
              <w:rPr>
                <w:rFonts w:ascii="Times New Roman" w:hAnsi="Times New Roman" w:cs="Times New Roman"/>
                <w:i/>
                <w:iCs/>
                <w:color w:val="0070C0"/>
                <w:sz w:val="22"/>
              </w:rPr>
              <w:t xml:space="preserve">F </w:t>
            </w:r>
            <w:r>
              <w:rPr>
                <w:rFonts w:ascii="Times New Roman" w:hAnsi="Times New Roman" w:cs="Times New Roman"/>
                <w:color w:val="0070C0"/>
                <w:sz w:val="22"/>
              </w:rPr>
              <w:t xml:space="preserve">= </w:t>
            </w:r>
            <w:r>
              <w:rPr>
                <w:rFonts w:ascii="Times New Roman" w:hAnsi="Times New Roman" w:cs="Times New Roman"/>
                <w:color w:val="0070C0"/>
                <w:sz w:val="22"/>
              </w:rPr>
              <w:t>1.71</w:t>
            </w:r>
            <w:r>
              <w:rPr>
                <w:rFonts w:ascii="Times New Roman" w:hAnsi="Times New Roman" w:cs="Times New Roman"/>
                <w:color w:val="0070C0"/>
                <w:sz w:val="22"/>
              </w:rPr>
              <w:t xml:space="preserve">, </w:t>
            </w:r>
            <w:r>
              <w:rPr>
                <w:rFonts w:ascii="Times New Roman" w:hAnsi="Times New Roman" w:cs="Times New Roman"/>
                <w:i/>
                <w:iCs/>
                <w:color w:val="0070C0"/>
                <w:sz w:val="22"/>
              </w:rPr>
              <w:t>P</w:t>
            </w:r>
            <w:r>
              <w:rPr>
                <w:rFonts w:ascii="Times New Roman" w:hAnsi="Times New Roman" w:cs="Times New Roman"/>
                <w:i/>
                <w:color w:val="0070C0"/>
                <w:sz w:val="22"/>
              </w:rPr>
              <w:t xml:space="preserve"> </w:t>
            </w:r>
            <w:r>
              <w:rPr>
                <w:rFonts w:ascii="Times New Roman" w:hAnsi="Times New Roman" w:cs="Times New Roman"/>
                <w:color w:val="0070C0"/>
                <w:sz w:val="22"/>
              </w:rPr>
              <w:t>= 0.</w:t>
            </w:r>
            <w:r>
              <w:rPr>
                <w:rFonts w:ascii="Times New Roman" w:hAnsi="Times New Roman" w:cs="Times New Roman"/>
                <w:color w:val="0070C0"/>
                <w:sz w:val="22"/>
              </w:rPr>
              <w:t>168</w:t>
            </w:r>
          </w:p>
        </w:tc>
      </w:tr>
      <w:tr>
        <w:trPr>
          <w:jc w:val="center"/>
          <w:trHeight w:val="380" w:hRule="atLeast"/>
        </w:trPr>
        <w:tc>
          <w:tcPr>
            <w:tcW w:w="151" w:type="pct"/>
            <w:vAlign w:val="center"/>
          </w:tcPr>
          <w:p>
            <w:pPr>
              <w:rPr>
                <w:rFonts w:ascii="Times New Roman" w:hAnsi="Times New Roman" w:cs="Times New Roman"/>
                <w:sz w:val="22"/>
              </w:rPr>
            </w:pPr>
          </w:p>
        </w:tc>
        <w:tc>
          <w:tcPr>
            <w:tcW w:w="821" w:type="pct"/>
            <w:vAlign w:val="center"/>
            <w:hideMark/>
          </w:tcPr>
          <w:p>
            <w:pPr>
              <w:rPr>
                <w:rFonts w:ascii="Times New Roman" w:hAnsi="Times New Roman" w:cs="Times New Roman"/>
                <w:sz w:val="22"/>
              </w:rPr>
            </w:pPr>
            <w:r>
              <w:rPr>
                <w:rFonts w:ascii="Times New Roman" w:hAnsi="Times New Roman" w:cs="Times New Roman"/>
                <w:sz w:val="22"/>
              </w:rPr>
              <w:t>PSQI, total sleep time</w:t>
            </w:r>
          </w:p>
        </w:tc>
        <w:tc>
          <w:tcPr>
            <w:tcW w:w="746" w:type="pct"/>
            <w:vAlign w:val="center"/>
            <w:hideMark/>
          </w:tcPr>
          <w:p>
            <w:pPr>
              <w:jc w:val="center"/>
              <w:rPr>
                <w:rFonts w:ascii="Times New Roman" w:hAnsi="Times New Roman" w:cs="Times New Roman"/>
                <w:sz w:val="22"/>
              </w:rPr>
            </w:pPr>
            <w:r>
              <w:rPr>
                <w:rFonts w:ascii="Times New Roman" w:hAnsi="Times New Roman" w:cs="Times New Roman"/>
                <w:sz w:val="22"/>
              </w:rPr>
              <w:t>3</w:t>
            </w:r>
            <w:r>
              <w:rPr>
                <w:rFonts w:ascii="Times New Roman" w:hAnsi="Times New Roman" w:cs="Times New Roman"/>
                <w:sz w:val="22"/>
              </w:rPr>
              <w:t>76</w:t>
            </w:r>
            <w:r>
              <w:rPr>
                <w:rFonts w:ascii="Times New Roman" w:hAnsi="Times New Roman" w:cs="Times New Roman"/>
                <w:sz w:val="22"/>
              </w:rPr>
              <w:t>.3 ± 7</w:t>
            </w:r>
            <w:r>
              <w:rPr>
                <w:rFonts w:ascii="Times New Roman" w:hAnsi="Times New Roman" w:cs="Times New Roman"/>
                <w:sz w:val="22"/>
              </w:rPr>
              <w:t>4</w:t>
            </w:r>
            <w:r>
              <w:rPr>
                <w:rFonts w:ascii="Times New Roman" w:hAnsi="Times New Roman" w:cs="Times New Roman"/>
                <w:sz w:val="22"/>
              </w:rPr>
              <w:t>.</w:t>
            </w:r>
            <w:r>
              <w:rPr>
                <w:rFonts w:ascii="Times New Roman" w:hAnsi="Times New Roman" w:cs="Times New Roman"/>
                <w:sz w:val="22"/>
              </w:rPr>
              <w:t>5</w:t>
            </w:r>
          </w:p>
        </w:tc>
        <w:tc>
          <w:tcPr>
            <w:tcW w:w="747" w:type="pct"/>
            <w:vAlign w:val="center"/>
          </w:tcPr>
          <w:p>
            <w:pPr>
              <w:jc w:val="center"/>
              <w:rPr>
                <w:rFonts w:ascii="Times New Roman" w:hAnsi="Times New Roman" w:cs="Times New Roman"/>
                <w:sz w:val="22"/>
              </w:rPr>
            </w:pPr>
            <w:r>
              <w:rPr>
                <w:rFonts w:ascii="Times New Roman" w:hAnsi="Times New Roman" w:cs="Times New Roman"/>
                <w:sz w:val="22"/>
              </w:rPr>
              <w:t>3</w:t>
            </w:r>
            <w:r>
              <w:rPr>
                <w:rFonts w:ascii="Times New Roman" w:hAnsi="Times New Roman" w:cs="Times New Roman"/>
                <w:sz w:val="22"/>
              </w:rPr>
              <w:t>86</w:t>
            </w:r>
            <w:r>
              <w:rPr>
                <w:rFonts w:ascii="Times New Roman" w:hAnsi="Times New Roman" w:cs="Times New Roman"/>
                <w:sz w:val="22"/>
              </w:rPr>
              <w:t>.</w:t>
            </w:r>
            <w:r>
              <w:rPr>
                <w:rFonts w:ascii="Times New Roman" w:hAnsi="Times New Roman" w:cs="Times New Roman"/>
                <w:sz w:val="22"/>
              </w:rPr>
              <w:t>8</w:t>
            </w:r>
            <w:r>
              <w:rPr>
                <w:rFonts w:ascii="Times New Roman" w:hAnsi="Times New Roman" w:cs="Times New Roman"/>
                <w:sz w:val="22"/>
              </w:rPr>
              <w:t xml:space="preserve"> ± </w:t>
            </w:r>
            <w:r>
              <w:rPr>
                <w:rFonts w:ascii="Times New Roman" w:hAnsi="Times New Roman" w:cs="Times New Roman"/>
                <w:sz w:val="22"/>
              </w:rPr>
              <w:t>77</w:t>
            </w:r>
            <w:r>
              <w:rPr>
                <w:rFonts w:ascii="Times New Roman" w:hAnsi="Times New Roman" w:cs="Times New Roman"/>
                <w:sz w:val="22"/>
              </w:rPr>
              <w:t>.</w:t>
            </w:r>
            <w:r>
              <w:rPr>
                <w:rFonts w:ascii="Times New Roman" w:hAnsi="Times New Roman" w:cs="Times New Roman"/>
                <w:sz w:val="22"/>
              </w:rPr>
              <w:t>6</w:t>
            </w:r>
          </w:p>
        </w:tc>
        <w:tc>
          <w:tcPr>
            <w:tcW w:w="745" w:type="pct"/>
            <w:vAlign w:val="center"/>
            <w:hideMark/>
          </w:tcPr>
          <w:p>
            <w:pPr>
              <w:jc w:val="center"/>
              <w:rPr>
                <w:rFonts w:ascii="Times New Roman" w:hAnsi="Times New Roman" w:cs="Times New Roman"/>
                <w:sz w:val="22"/>
              </w:rPr>
            </w:pPr>
            <w:r>
              <w:rPr>
                <w:rFonts w:ascii="Times New Roman" w:hAnsi="Times New Roman" w:cs="Times New Roman"/>
                <w:sz w:val="22"/>
              </w:rPr>
              <w:t>3</w:t>
            </w:r>
            <w:r>
              <w:rPr>
                <w:rFonts w:ascii="Times New Roman" w:hAnsi="Times New Roman" w:cs="Times New Roman"/>
                <w:sz w:val="22"/>
              </w:rPr>
              <w:t>79</w:t>
            </w:r>
            <w:r>
              <w:rPr>
                <w:rFonts w:ascii="Times New Roman" w:hAnsi="Times New Roman" w:cs="Times New Roman"/>
                <w:sz w:val="22"/>
              </w:rPr>
              <w:t>.</w:t>
            </w:r>
            <w:r>
              <w:rPr>
                <w:rFonts w:ascii="Times New Roman" w:hAnsi="Times New Roman" w:cs="Times New Roman"/>
                <w:sz w:val="22"/>
              </w:rPr>
              <w:t>3</w:t>
            </w:r>
            <w:r>
              <w:rPr>
                <w:rFonts w:ascii="Times New Roman" w:hAnsi="Times New Roman" w:cs="Times New Roman"/>
                <w:sz w:val="22"/>
              </w:rPr>
              <w:t xml:space="preserve"> ± </w:t>
            </w:r>
            <w:r>
              <w:rPr>
                <w:rFonts w:ascii="Times New Roman" w:hAnsi="Times New Roman" w:cs="Times New Roman"/>
                <w:sz w:val="22"/>
              </w:rPr>
              <w:t>82</w:t>
            </w:r>
            <w:r>
              <w:rPr>
                <w:rFonts w:ascii="Times New Roman" w:hAnsi="Times New Roman" w:cs="Times New Roman"/>
                <w:sz w:val="22"/>
              </w:rPr>
              <w:t>.</w:t>
            </w:r>
            <w:r>
              <w:rPr>
                <w:rFonts w:ascii="Times New Roman" w:hAnsi="Times New Roman" w:cs="Times New Roman"/>
                <w:sz w:val="22"/>
              </w:rPr>
              <w:t>7</w:t>
            </w:r>
          </w:p>
        </w:tc>
        <w:tc>
          <w:tcPr>
            <w:tcW w:w="746" w:type="pct"/>
            <w:vAlign w:val="center"/>
          </w:tcPr>
          <w:p>
            <w:pPr>
              <w:jc w:val="center"/>
              <w:rPr>
                <w:rFonts w:ascii="Times New Roman" w:hAnsi="Times New Roman" w:cs="Times New Roman"/>
                <w:i/>
                <w:iCs/>
                <w:sz w:val="22"/>
              </w:rPr>
            </w:pPr>
            <w:r>
              <w:rPr>
                <w:rFonts w:ascii="Times New Roman" w:hAnsi="Times New Roman" w:cs="Times New Roman"/>
                <w:sz w:val="22"/>
              </w:rPr>
              <w:t>3</w:t>
            </w:r>
            <w:r>
              <w:rPr>
                <w:rFonts w:ascii="Times New Roman" w:hAnsi="Times New Roman" w:cs="Times New Roman"/>
                <w:sz w:val="22"/>
              </w:rPr>
              <w:t>88</w:t>
            </w:r>
            <w:r>
              <w:rPr>
                <w:rFonts w:ascii="Times New Roman" w:hAnsi="Times New Roman" w:cs="Times New Roman"/>
                <w:sz w:val="22"/>
              </w:rPr>
              <w:t>.</w:t>
            </w:r>
            <w:r>
              <w:rPr>
                <w:rFonts w:ascii="Times New Roman" w:hAnsi="Times New Roman" w:cs="Times New Roman"/>
                <w:sz w:val="22"/>
              </w:rPr>
              <w:t>9</w:t>
            </w:r>
            <w:r>
              <w:rPr>
                <w:rFonts w:ascii="Times New Roman" w:hAnsi="Times New Roman" w:cs="Times New Roman"/>
                <w:sz w:val="22"/>
              </w:rPr>
              <w:t xml:space="preserve"> ± </w:t>
            </w:r>
            <w:r>
              <w:rPr>
                <w:rFonts w:ascii="Times New Roman" w:hAnsi="Times New Roman" w:cs="Times New Roman"/>
                <w:sz w:val="22"/>
              </w:rPr>
              <w:t>76</w:t>
            </w:r>
            <w:r>
              <w:rPr>
                <w:rFonts w:ascii="Times New Roman" w:hAnsi="Times New Roman" w:cs="Times New Roman"/>
                <w:sz w:val="22"/>
              </w:rPr>
              <w:t>.</w:t>
            </w:r>
            <w:r>
              <w:rPr>
                <w:rFonts w:ascii="Times New Roman" w:hAnsi="Times New Roman" w:cs="Times New Roman"/>
                <w:sz w:val="22"/>
              </w:rPr>
              <w:t>7</w:t>
            </w:r>
          </w:p>
        </w:tc>
        <w:tc>
          <w:tcPr>
            <w:tcW w:w="1044" w:type="pct"/>
            <w:vAlign w:val="center"/>
            <w:hideMark/>
          </w:tcPr>
          <w:p>
            <w:pPr>
              <w:rPr>
                <w:rFonts w:ascii="Times New Roman" w:hAnsi="Times New Roman" w:cs="Times New Roman"/>
                <w:sz w:val="22"/>
              </w:rPr>
            </w:pPr>
            <w:r>
              <w:rPr>
                <w:rFonts w:ascii="Times New Roman" w:hAnsi="Times New Roman" w:cs="Times New Roman"/>
                <w:i/>
                <w:iCs/>
                <w:color w:val="0070C0"/>
                <w:sz w:val="22"/>
              </w:rPr>
              <w:t xml:space="preserve">F </w:t>
            </w:r>
            <w:r>
              <w:rPr>
                <w:rFonts w:ascii="Times New Roman" w:hAnsi="Times New Roman" w:cs="Times New Roman"/>
                <w:color w:val="0070C0"/>
                <w:sz w:val="22"/>
              </w:rPr>
              <w:t xml:space="preserve">= </w:t>
            </w:r>
            <w:r>
              <w:rPr>
                <w:rFonts w:ascii="Times New Roman" w:hAnsi="Times New Roman" w:cs="Times New Roman"/>
                <w:color w:val="0070C0"/>
                <w:sz w:val="22"/>
              </w:rPr>
              <w:t>0.28</w:t>
            </w:r>
            <w:r>
              <w:rPr>
                <w:rFonts w:ascii="Times New Roman" w:hAnsi="Times New Roman" w:cs="Times New Roman"/>
                <w:color w:val="0070C0"/>
                <w:sz w:val="22"/>
              </w:rPr>
              <w:t xml:space="preserve">, </w:t>
            </w:r>
            <w:r>
              <w:rPr>
                <w:rFonts w:ascii="Times New Roman" w:hAnsi="Times New Roman" w:cs="Times New Roman"/>
                <w:i/>
                <w:iCs/>
                <w:color w:val="0070C0"/>
                <w:sz w:val="22"/>
              </w:rPr>
              <w:t>P</w:t>
            </w:r>
            <w:r>
              <w:rPr>
                <w:rFonts w:ascii="Times New Roman" w:hAnsi="Times New Roman" w:cs="Times New Roman"/>
                <w:i/>
                <w:color w:val="0070C0"/>
                <w:sz w:val="22"/>
              </w:rPr>
              <w:t xml:space="preserve"> </w:t>
            </w:r>
            <w:r>
              <w:rPr>
                <w:rFonts w:ascii="Times New Roman" w:hAnsi="Times New Roman" w:cs="Times New Roman"/>
                <w:color w:val="0070C0"/>
                <w:sz w:val="22"/>
              </w:rPr>
              <w:t>= 0.</w:t>
            </w:r>
            <w:r>
              <w:rPr>
                <w:rFonts w:ascii="Times New Roman" w:hAnsi="Times New Roman" w:cs="Times New Roman"/>
                <w:color w:val="0070C0"/>
                <w:sz w:val="22"/>
              </w:rPr>
              <w:t>842</w:t>
            </w:r>
          </w:p>
        </w:tc>
      </w:tr>
      <w:tr>
        <w:trPr>
          <w:jc w:val="center"/>
          <w:trHeight w:val="380" w:hRule="atLeast"/>
        </w:trPr>
        <w:tc>
          <w:tcPr>
            <w:tcW w:w="151" w:type="pct"/>
            <w:vAlign w:val="center"/>
          </w:tcPr>
          <w:p>
            <w:pPr>
              <w:rPr>
                <w:rFonts w:ascii="Times New Roman" w:hAnsi="Times New Roman" w:cs="Times New Roman"/>
                <w:sz w:val="22"/>
              </w:rPr>
            </w:pPr>
          </w:p>
        </w:tc>
        <w:tc>
          <w:tcPr>
            <w:tcW w:w="821" w:type="pct"/>
            <w:vAlign w:val="center"/>
            <w:hideMark/>
          </w:tcPr>
          <w:p>
            <w:pPr>
              <w:rPr>
                <w:rFonts w:ascii="Times New Roman" w:hAnsi="Times New Roman" w:cs="Times New Roman"/>
                <w:sz w:val="22"/>
              </w:rPr>
            </w:pPr>
            <w:r>
              <w:rPr>
                <w:rFonts w:ascii="Times New Roman" w:hAnsi="Times New Roman" w:cs="Times New Roman"/>
                <w:sz w:val="22"/>
              </w:rPr>
              <w:t>PSQI, sleep efficiency</w:t>
            </w:r>
          </w:p>
        </w:tc>
        <w:tc>
          <w:tcPr>
            <w:tcW w:w="746" w:type="pct"/>
            <w:vAlign w:val="center"/>
            <w:hideMark/>
          </w:tcPr>
          <w:p>
            <w:pPr>
              <w:jc w:val="center"/>
              <w:rPr>
                <w:rFonts w:ascii="Times New Roman" w:hAnsi="Times New Roman" w:cs="Times New Roman"/>
                <w:sz w:val="22"/>
              </w:rPr>
            </w:pPr>
            <w:r>
              <w:rPr>
                <w:rFonts w:ascii="Times New Roman" w:hAnsi="Times New Roman" w:cs="Times New Roman"/>
                <w:sz w:val="22"/>
              </w:rPr>
              <w:t>89</w:t>
            </w:r>
            <w:r>
              <w:rPr>
                <w:rFonts w:ascii="Times New Roman" w:hAnsi="Times New Roman" w:cs="Times New Roman"/>
                <w:sz w:val="22"/>
              </w:rPr>
              <w:t>.5 ± 1</w:t>
            </w:r>
            <w:r>
              <w:rPr>
                <w:rFonts w:ascii="Times New Roman" w:hAnsi="Times New Roman" w:cs="Times New Roman"/>
                <w:sz w:val="22"/>
              </w:rPr>
              <w:t>2</w:t>
            </w:r>
            <w:r>
              <w:rPr>
                <w:rFonts w:ascii="Times New Roman" w:hAnsi="Times New Roman" w:cs="Times New Roman"/>
                <w:sz w:val="22"/>
              </w:rPr>
              <w:t>.</w:t>
            </w:r>
            <w:r>
              <w:rPr>
                <w:rFonts w:ascii="Times New Roman" w:hAnsi="Times New Roman" w:cs="Times New Roman"/>
                <w:sz w:val="22"/>
              </w:rPr>
              <w:t>8</w:t>
            </w:r>
          </w:p>
        </w:tc>
        <w:tc>
          <w:tcPr>
            <w:tcW w:w="747" w:type="pct"/>
            <w:vAlign w:val="center"/>
          </w:tcPr>
          <w:p>
            <w:pPr>
              <w:jc w:val="center"/>
              <w:rPr>
                <w:rFonts w:ascii="Times New Roman" w:hAnsi="Times New Roman" w:cs="Times New Roman"/>
                <w:sz w:val="22"/>
              </w:rPr>
            </w:pPr>
            <w:r>
              <w:rPr>
                <w:rFonts w:ascii="Times New Roman" w:hAnsi="Times New Roman" w:cs="Times New Roman"/>
                <w:sz w:val="22"/>
              </w:rPr>
              <w:t>92</w:t>
            </w:r>
            <w:r>
              <w:rPr>
                <w:rFonts w:ascii="Times New Roman" w:hAnsi="Times New Roman" w:cs="Times New Roman"/>
                <w:sz w:val="22"/>
              </w:rPr>
              <w:t>.</w:t>
            </w:r>
            <w:r>
              <w:rPr>
                <w:rFonts w:ascii="Times New Roman" w:hAnsi="Times New Roman" w:cs="Times New Roman"/>
                <w:sz w:val="22"/>
              </w:rPr>
              <w:t>1</w:t>
            </w:r>
            <w:r>
              <w:rPr>
                <w:rFonts w:ascii="Times New Roman" w:hAnsi="Times New Roman" w:cs="Times New Roman"/>
                <w:sz w:val="22"/>
              </w:rPr>
              <w:t xml:space="preserve"> ± </w:t>
            </w:r>
            <w:r>
              <w:rPr>
                <w:rFonts w:ascii="Times New Roman" w:hAnsi="Times New Roman" w:cs="Times New Roman"/>
                <w:sz w:val="22"/>
              </w:rPr>
              <w:t>9</w:t>
            </w:r>
            <w:r>
              <w:rPr>
                <w:rFonts w:ascii="Times New Roman" w:hAnsi="Times New Roman" w:cs="Times New Roman"/>
                <w:sz w:val="22"/>
              </w:rPr>
              <w:t>.</w:t>
            </w:r>
            <w:r>
              <w:rPr>
                <w:rFonts w:ascii="Times New Roman" w:hAnsi="Times New Roman" w:cs="Times New Roman"/>
                <w:sz w:val="22"/>
              </w:rPr>
              <w:t>4</w:t>
            </w:r>
          </w:p>
        </w:tc>
        <w:tc>
          <w:tcPr>
            <w:tcW w:w="745" w:type="pct"/>
            <w:vAlign w:val="center"/>
            <w:hideMark/>
          </w:tcPr>
          <w:p>
            <w:pPr>
              <w:jc w:val="center"/>
              <w:rPr>
                <w:rFonts w:ascii="Times New Roman" w:hAnsi="Times New Roman" w:cs="Times New Roman"/>
                <w:sz w:val="22"/>
              </w:rPr>
            </w:pPr>
            <w:r>
              <w:rPr>
                <w:rFonts w:ascii="Times New Roman" w:hAnsi="Times New Roman" w:cs="Times New Roman"/>
                <w:sz w:val="22"/>
              </w:rPr>
              <w:t>89</w:t>
            </w:r>
            <w:r>
              <w:rPr>
                <w:rFonts w:ascii="Times New Roman" w:hAnsi="Times New Roman" w:cs="Times New Roman"/>
                <w:sz w:val="22"/>
              </w:rPr>
              <w:t>.</w:t>
            </w:r>
            <w:r>
              <w:rPr>
                <w:rFonts w:ascii="Times New Roman" w:hAnsi="Times New Roman" w:cs="Times New Roman"/>
                <w:sz w:val="22"/>
              </w:rPr>
              <w:t>4</w:t>
            </w:r>
            <w:r>
              <w:rPr>
                <w:rFonts w:ascii="Times New Roman" w:hAnsi="Times New Roman" w:cs="Times New Roman"/>
                <w:sz w:val="22"/>
              </w:rPr>
              <w:t xml:space="preserve"> ± 1</w:t>
            </w:r>
            <w:r>
              <w:rPr>
                <w:rFonts w:ascii="Times New Roman" w:hAnsi="Times New Roman" w:cs="Times New Roman"/>
                <w:sz w:val="22"/>
              </w:rPr>
              <w:t>5</w:t>
            </w:r>
            <w:r>
              <w:rPr>
                <w:rFonts w:ascii="Times New Roman" w:hAnsi="Times New Roman" w:cs="Times New Roman"/>
                <w:sz w:val="22"/>
              </w:rPr>
              <w:t>.</w:t>
            </w:r>
            <w:r>
              <w:rPr>
                <w:rFonts w:ascii="Times New Roman" w:hAnsi="Times New Roman" w:cs="Times New Roman"/>
                <w:sz w:val="22"/>
              </w:rPr>
              <w:t>1</w:t>
            </w:r>
          </w:p>
        </w:tc>
        <w:tc>
          <w:tcPr>
            <w:tcW w:w="746" w:type="pct"/>
            <w:vAlign w:val="center"/>
          </w:tcPr>
          <w:p>
            <w:pPr>
              <w:jc w:val="center"/>
              <w:rPr>
                <w:rFonts w:ascii="Times New Roman" w:hAnsi="Times New Roman" w:cs="Times New Roman"/>
                <w:i/>
                <w:iCs/>
                <w:sz w:val="22"/>
              </w:rPr>
            </w:pPr>
            <w:r>
              <w:rPr>
                <w:rFonts w:ascii="Times New Roman" w:hAnsi="Times New Roman" w:cs="Times New Roman"/>
                <w:sz w:val="22"/>
              </w:rPr>
              <w:t>92</w:t>
            </w:r>
            <w:r>
              <w:rPr>
                <w:rFonts w:ascii="Times New Roman" w:hAnsi="Times New Roman" w:cs="Times New Roman"/>
                <w:sz w:val="22"/>
              </w:rPr>
              <w:t>.</w:t>
            </w:r>
            <w:r>
              <w:rPr>
                <w:rFonts w:ascii="Times New Roman" w:hAnsi="Times New Roman" w:cs="Times New Roman"/>
                <w:sz w:val="22"/>
              </w:rPr>
              <w:t>5</w:t>
            </w:r>
            <w:r>
              <w:rPr>
                <w:rFonts w:ascii="Times New Roman" w:hAnsi="Times New Roman" w:cs="Times New Roman"/>
                <w:sz w:val="22"/>
              </w:rPr>
              <w:t xml:space="preserve"> ± </w:t>
            </w:r>
            <w:r>
              <w:rPr>
                <w:rFonts w:ascii="Times New Roman" w:hAnsi="Times New Roman" w:cs="Times New Roman"/>
                <w:sz w:val="22"/>
              </w:rPr>
              <w:t>9</w:t>
            </w:r>
            <w:r>
              <w:rPr>
                <w:rFonts w:ascii="Times New Roman" w:hAnsi="Times New Roman" w:cs="Times New Roman"/>
                <w:sz w:val="22"/>
              </w:rPr>
              <w:t>.</w:t>
            </w:r>
            <w:r>
              <w:rPr>
                <w:rFonts w:ascii="Times New Roman" w:hAnsi="Times New Roman" w:cs="Times New Roman"/>
                <w:sz w:val="22"/>
              </w:rPr>
              <w:t>8</w:t>
            </w:r>
          </w:p>
        </w:tc>
        <w:tc>
          <w:tcPr>
            <w:tcW w:w="1044" w:type="pct"/>
            <w:vAlign w:val="center"/>
            <w:hideMark/>
          </w:tcPr>
          <w:p>
            <w:pPr>
              <w:rPr>
                <w:rFonts w:ascii="Times New Roman" w:hAnsi="Times New Roman" w:cs="Times New Roman"/>
                <w:sz w:val="22"/>
              </w:rPr>
            </w:pPr>
            <w:r>
              <w:rPr>
                <w:rFonts w:ascii="Times New Roman" w:hAnsi="Times New Roman" w:cs="Times New Roman"/>
                <w:i/>
                <w:iCs/>
                <w:color w:val="0070C0"/>
                <w:sz w:val="22"/>
              </w:rPr>
              <w:t xml:space="preserve">F </w:t>
            </w:r>
            <w:r>
              <w:rPr>
                <w:rFonts w:ascii="Times New Roman" w:hAnsi="Times New Roman" w:cs="Times New Roman"/>
                <w:color w:val="0070C0"/>
                <w:sz w:val="22"/>
              </w:rPr>
              <w:t xml:space="preserve">= </w:t>
            </w:r>
            <w:r>
              <w:rPr>
                <w:rFonts w:ascii="Times New Roman" w:hAnsi="Times New Roman" w:cs="Times New Roman"/>
                <w:color w:val="0070C0"/>
                <w:sz w:val="22"/>
              </w:rPr>
              <w:t>0.87</w:t>
            </w:r>
            <w:r>
              <w:rPr>
                <w:rFonts w:ascii="Times New Roman" w:hAnsi="Times New Roman" w:cs="Times New Roman"/>
                <w:color w:val="0070C0"/>
                <w:sz w:val="22"/>
              </w:rPr>
              <w:t xml:space="preserve">, </w:t>
            </w:r>
            <w:r>
              <w:rPr>
                <w:rFonts w:ascii="Times New Roman" w:hAnsi="Times New Roman" w:cs="Times New Roman"/>
                <w:i/>
                <w:iCs/>
                <w:color w:val="0070C0"/>
                <w:sz w:val="22"/>
              </w:rPr>
              <w:t>P</w:t>
            </w:r>
            <w:r>
              <w:rPr>
                <w:rFonts w:ascii="Times New Roman" w:hAnsi="Times New Roman" w:cs="Times New Roman"/>
                <w:i/>
                <w:color w:val="0070C0"/>
                <w:sz w:val="22"/>
              </w:rPr>
              <w:t xml:space="preserve"> </w:t>
            </w:r>
            <w:r>
              <w:rPr>
                <w:rFonts w:ascii="Times New Roman" w:hAnsi="Times New Roman" w:cs="Times New Roman"/>
                <w:color w:val="0070C0"/>
                <w:sz w:val="22"/>
              </w:rPr>
              <w:t>= 0.</w:t>
            </w:r>
            <w:r>
              <w:rPr>
                <w:rFonts w:ascii="Times New Roman" w:hAnsi="Times New Roman" w:cs="Times New Roman"/>
                <w:color w:val="0070C0"/>
                <w:sz w:val="22"/>
              </w:rPr>
              <w:t>456</w:t>
            </w:r>
          </w:p>
        </w:tc>
      </w:tr>
      <w:tr>
        <w:trPr>
          <w:jc w:val="center"/>
          <w:trHeight w:val="380" w:hRule="atLeast"/>
        </w:trPr>
        <w:tc>
          <w:tcPr>
            <w:tcW w:w="151" w:type="pct"/>
            <w:tcBorders>
              <w:bottom w:val="single" w:sz="4" w:space="0" w:color="auto"/>
            </w:tcBorders>
            <w:vAlign w:val="center"/>
          </w:tcPr>
          <w:p>
            <w:pPr>
              <w:rPr>
                <w:rFonts w:ascii="Times New Roman" w:hAnsi="Times New Roman" w:cs="Times New Roman"/>
                <w:sz w:val="22"/>
              </w:rPr>
            </w:pPr>
          </w:p>
        </w:tc>
        <w:tc>
          <w:tcPr>
            <w:tcW w:w="821" w:type="pct"/>
            <w:tcBorders>
              <w:bottom w:val="single" w:sz="4" w:space="0" w:color="auto"/>
            </w:tcBorders>
            <w:vAlign w:val="center"/>
            <w:hideMark/>
          </w:tcPr>
          <w:p>
            <w:pPr>
              <w:rPr>
                <w:rFonts w:ascii="Times New Roman" w:hAnsi="Times New Roman" w:cs="Times New Roman"/>
                <w:sz w:val="22"/>
              </w:rPr>
            </w:pPr>
            <w:r>
              <w:rPr>
                <w:rFonts w:ascii="Times New Roman" w:hAnsi="Times New Roman" w:cs="Times New Roman"/>
                <w:sz w:val="22"/>
              </w:rPr>
              <w:t>Overall sleep quality</w:t>
            </w:r>
          </w:p>
        </w:tc>
        <w:tc>
          <w:tcPr>
            <w:tcW w:w="746" w:type="pct"/>
            <w:tcBorders>
              <w:bottom w:val="single" w:sz="4" w:space="0" w:color="auto"/>
            </w:tcBorders>
            <w:vAlign w:val="center"/>
            <w:hideMark/>
          </w:tcPr>
          <w:p>
            <w:pPr>
              <w:jc w:val="center"/>
              <w:rPr>
                <w:rFonts w:ascii="Times New Roman" w:hAnsi="Times New Roman" w:cs="Times New Roman"/>
                <w:sz w:val="22"/>
              </w:rPr>
            </w:pPr>
            <w:r>
              <w:rPr>
                <w:rFonts w:ascii="Times New Roman" w:hAnsi="Times New Roman" w:cs="Times New Roman"/>
                <w:sz w:val="22"/>
              </w:rPr>
              <w:t>1.</w:t>
            </w:r>
            <w:r>
              <w:rPr>
                <w:rFonts w:ascii="Times New Roman" w:hAnsi="Times New Roman" w:cs="Times New Roman"/>
                <w:sz w:val="22"/>
              </w:rPr>
              <w:t>8</w:t>
            </w:r>
            <w:r>
              <w:rPr>
                <w:rFonts w:ascii="Times New Roman" w:hAnsi="Times New Roman" w:cs="Times New Roman"/>
                <w:sz w:val="22"/>
              </w:rPr>
              <w:t xml:space="preserve"> ± 0.8</w:t>
            </w:r>
          </w:p>
        </w:tc>
        <w:tc>
          <w:tcPr>
            <w:tcW w:w="747" w:type="pct"/>
            <w:tcBorders>
              <w:bottom w:val="single" w:sz="4" w:space="0" w:color="auto"/>
            </w:tcBorders>
            <w:vAlign w:val="center"/>
          </w:tcPr>
          <w:p>
            <w:pPr>
              <w:jc w:val="center"/>
              <w:rPr>
                <w:rFonts w:ascii="Times New Roman" w:hAnsi="Times New Roman" w:cs="Times New Roman"/>
                <w:sz w:val="22"/>
              </w:rPr>
            </w:pPr>
            <w:r>
              <w:rPr>
                <w:rFonts w:ascii="Times New Roman" w:hAnsi="Times New Roman" w:cs="Times New Roman"/>
                <w:sz w:val="22"/>
              </w:rPr>
              <w:t>1.</w:t>
            </w:r>
            <w:r>
              <w:rPr>
                <w:rFonts w:ascii="Times New Roman" w:hAnsi="Times New Roman" w:cs="Times New Roman"/>
                <w:sz w:val="22"/>
              </w:rPr>
              <w:t>6</w:t>
            </w:r>
            <w:r>
              <w:rPr>
                <w:rFonts w:ascii="Times New Roman" w:hAnsi="Times New Roman" w:cs="Times New Roman"/>
                <w:sz w:val="22"/>
              </w:rPr>
              <w:t xml:space="preserve"> ± 0.8</w:t>
            </w:r>
          </w:p>
        </w:tc>
        <w:tc>
          <w:tcPr>
            <w:tcW w:w="745" w:type="pct"/>
            <w:tcBorders>
              <w:bottom w:val="single" w:sz="4" w:space="0" w:color="auto"/>
            </w:tcBorders>
            <w:vAlign w:val="center"/>
            <w:hideMark/>
          </w:tcPr>
          <w:p>
            <w:pPr>
              <w:jc w:val="center"/>
              <w:rPr>
                <w:rFonts w:ascii="Times New Roman" w:hAnsi="Times New Roman" w:cs="Times New Roman"/>
                <w:sz w:val="22"/>
              </w:rPr>
            </w:pPr>
            <w:r>
              <w:rPr>
                <w:rFonts w:ascii="Times New Roman" w:hAnsi="Times New Roman" w:cs="Times New Roman"/>
                <w:sz w:val="22"/>
              </w:rPr>
              <w:t>2.0 ± 0.</w:t>
            </w:r>
            <w:r>
              <w:rPr>
                <w:rFonts w:ascii="Times New Roman" w:hAnsi="Times New Roman" w:cs="Times New Roman"/>
                <w:sz w:val="22"/>
              </w:rPr>
              <w:t>8</w:t>
            </w:r>
          </w:p>
        </w:tc>
        <w:tc>
          <w:tcPr>
            <w:tcW w:w="746" w:type="pct"/>
            <w:tcBorders>
              <w:bottom w:val="single" w:sz="4" w:space="0" w:color="auto"/>
            </w:tcBorders>
            <w:vAlign w:val="center"/>
          </w:tcPr>
          <w:p>
            <w:pPr>
              <w:jc w:val="center"/>
              <w:rPr>
                <w:rFonts w:ascii="Times New Roman" w:hAnsi="Times New Roman" w:cs="Times New Roman"/>
                <w:i/>
                <w:iCs/>
                <w:sz w:val="22"/>
              </w:rPr>
            </w:pPr>
            <w:r>
              <w:rPr>
                <w:rFonts w:ascii="Times New Roman" w:hAnsi="Times New Roman" w:cs="Times New Roman"/>
                <w:sz w:val="22"/>
              </w:rPr>
              <w:t>2.0 ± 0.</w:t>
            </w:r>
            <w:r>
              <w:rPr>
                <w:rFonts w:ascii="Times New Roman" w:hAnsi="Times New Roman" w:cs="Times New Roman"/>
                <w:sz w:val="22"/>
              </w:rPr>
              <w:t>7</w:t>
            </w:r>
          </w:p>
        </w:tc>
        <w:tc>
          <w:tcPr>
            <w:tcW w:w="1044" w:type="pct"/>
            <w:tcBorders>
              <w:bottom w:val="single" w:sz="4" w:space="0" w:color="auto"/>
            </w:tcBorders>
            <w:vAlign w:val="center"/>
            <w:hideMark/>
          </w:tcPr>
          <w:p>
            <w:pPr>
              <w:rPr>
                <w:rFonts w:ascii="Times New Roman" w:hAnsi="Times New Roman" w:cs="Times New Roman"/>
                <w:sz w:val="22"/>
              </w:rPr>
            </w:pPr>
            <w:r>
              <w:rPr>
                <w:rFonts w:ascii="Times New Roman" w:hAnsi="Times New Roman" w:cs="Times New Roman"/>
                <w:i/>
                <w:iCs/>
                <w:color w:val="0070C0"/>
                <w:sz w:val="22"/>
              </w:rPr>
              <w:t xml:space="preserve">F </w:t>
            </w:r>
            <w:r>
              <w:rPr>
                <w:rFonts w:ascii="Times New Roman" w:hAnsi="Times New Roman" w:cs="Times New Roman"/>
                <w:color w:val="0070C0"/>
                <w:sz w:val="22"/>
              </w:rPr>
              <w:t xml:space="preserve">= </w:t>
            </w:r>
            <w:r>
              <w:rPr>
                <w:rFonts w:ascii="Times New Roman" w:hAnsi="Times New Roman" w:cs="Times New Roman"/>
                <w:color w:val="0070C0"/>
                <w:sz w:val="22"/>
              </w:rPr>
              <w:t>2.37</w:t>
            </w:r>
            <w:r>
              <w:rPr>
                <w:rFonts w:ascii="Times New Roman" w:hAnsi="Times New Roman" w:cs="Times New Roman"/>
                <w:color w:val="0070C0"/>
                <w:sz w:val="22"/>
              </w:rPr>
              <w:t xml:space="preserve">, </w:t>
            </w:r>
            <w:r>
              <w:rPr>
                <w:rFonts w:ascii="Times New Roman" w:hAnsi="Times New Roman" w:cs="Times New Roman"/>
                <w:i/>
                <w:iCs/>
                <w:color w:val="0070C0"/>
                <w:sz w:val="22"/>
              </w:rPr>
              <w:t>P</w:t>
            </w:r>
            <w:r>
              <w:rPr>
                <w:rFonts w:ascii="Times New Roman" w:hAnsi="Times New Roman" w:cs="Times New Roman"/>
                <w:i/>
                <w:color w:val="0070C0"/>
                <w:sz w:val="22"/>
              </w:rPr>
              <w:t xml:space="preserve"> </w:t>
            </w:r>
            <w:r>
              <w:rPr>
                <w:rFonts w:ascii="Times New Roman" w:hAnsi="Times New Roman" w:cs="Times New Roman"/>
                <w:color w:val="0070C0"/>
                <w:sz w:val="22"/>
              </w:rPr>
              <w:t>= 0.</w:t>
            </w:r>
            <w:r>
              <w:rPr>
                <w:rFonts w:ascii="Times New Roman" w:hAnsi="Times New Roman" w:cs="Times New Roman"/>
                <w:color w:val="0070C0"/>
                <w:sz w:val="22"/>
              </w:rPr>
              <w:t>072</w:t>
            </w:r>
          </w:p>
        </w:tc>
      </w:tr>
    </w:tbl>
    <w:p>
      <w:pPr>
        <w:rPr>
          <w:rFonts w:ascii="Times New Roman" w:hAnsi="Times New Roman" w:cs="Times New Roman" w:hint="eastAsia"/>
          <w:sz w:val="22"/>
        </w:rPr>
      </w:pPr>
      <w:r>
        <w:rPr>
          <w:rFonts w:ascii="Times New Roman" w:hAnsi="Times New Roman" w:cs="Times New Roman"/>
          <w:b/>
          <w:sz w:val="22"/>
        </w:rPr>
        <w:t>Notes:</w:t>
      </w:r>
      <w:r>
        <w:rPr>
          <w:rFonts w:ascii="Times New Roman" w:hAnsi="Times New Roman" w:cs="Times New Roman"/>
          <w:sz w:val="22"/>
        </w:rPr>
        <w:t xml:space="preserve"> Data are </w:t>
      </w:r>
      <w:r>
        <w:rPr>
          <w:rFonts w:ascii="Times New Roman" w:hAnsi="Times New Roman" w:cs="Times New Roman"/>
          <w:sz w:val="22"/>
        </w:rPr>
        <w:t xml:space="preserve">mean ± standard deviation values. </w:t>
      </w:r>
      <w:r>
        <w:rPr>
          <w:rFonts w:ascii="Times New Roman" w:hAnsi="Times New Roman" w:cs="Times New Roman"/>
          <w:sz w:val="28"/>
          <w:vertAlign w:val="superscript"/>
        </w:rPr>
        <w:t>a</w:t>
      </w:r>
      <w:r>
        <w:rPr>
          <w:rFonts w:ascii="Times New Roman" w:hAnsi="Times New Roman" w:cs="Times New Roman"/>
          <w:sz w:val="22"/>
        </w:rPr>
        <w:t xml:space="preserve"> </w:t>
      </w:r>
      <w:r>
        <w:rPr>
          <w:rFonts w:ascii="Times New Roman" w:hAnsi="Times New Roman" w:cs="Times New Roman"/>
          <w:sz w:val="22"/>
        </w:rPr>
        <w:t>One-way ANOVA</w:t>
      </w:r>
      <w:r>
        <w:rPr>
          <w:rFonts w:ascii="Times New Roman" w:hAnsi="Times New Roman" w:cs="Times New Roman"/>
          <w:sz w:val="22"/>
        </w:rPr>
        <w:t xml:space="preserve">. </w:t>
      </w:r>
      <w:r>
        <w:rPr>
          <w:rFonts w:ascii="Times New Roman" w:hAnsi="Times New Roman" w:cs="Times New Roman"/>
          <w:sz w:val="22"/>
        </w:rPr>
        <w:t xml:space="preserve">Bold indicates </w:t>
      </w:r>
      <w:r>
        <w:rPr>
          <w:rFonts w:ascii="Times New Roman" w:hAnsi="Times New Roman" w:cs="Times New Roman"/>
          <w:i/>
          <w:iCs/>
          <w:sz w:val="22"/>
        </w:rPr>
        <w:t>P</w:t>
      </w:r>
      <w:r>
        <w:rPr>
          <w:rFonts w:ascii="Times New Roman" w:hAnsi="Times New Roman" w:cs="Times New Roman"/>
          <w:sz w:val="22"/>
        </w:rPr>
        <w:t xml:space="preserve"> &lt; 0.1. *</w:t>
      </w:r>
      <w:r>
        <w:rPr>
          <w:rFonts w:ascii="Times New Roman" w:eastAsiaTheme="minorHAnsi" w:hAnsi="Times New Roman" w:cs="Times New Roman"/>
          <w:i/>
          <w:sz w:val="22"/>
          <w:kern w:val="0"/>
        </w:rPr>
        <w:t>P</w:t>
      </w:r>
      <w:r>
        <w:rPr>
          <w:rFonts w:ascii="Times New Roman" w:hAnsi="Times New Roman" w:cs="Times New Roman"/>
          <w:sz w:val="22"/>
        </w:rPr>
        <w:t> &lt; 0.05</w:t>
      </w:r>
      <w:r>
        <w:rPr>
          <w:rFonts w:ascii="Times New Roman" w:hAnsi="Times New Roman" w:cs="Times New Roman"/>
          <w:sz w:val="22"/>
        </w:rPr>
        <w:t>.</w:t>
      </w:r>
    </w:p>
    <w:p>
      <w:pPr>
        <w:rPr>
          <w:rFonts w:ascii="Times New Roman" w:hAnsi="Times New Roman" w:cs="Times New Roman"/>
          <w:sz w:val="22"/>
        </w:rPr>
      </w:pPr>
      <w:r>
        <w:rPr>
          <w:rFonts w:ascii="Times New Roman" w:hAnsi="Times New Roman" w:cs="Times New Roman"/>
          <w:b/>
          <w:sz w:val="22"/>
        </w:rPr>
        <w:t>Abbreviations:</w:t>
      </w:r>
      <w:r>
        <w:rPr>
          <w:rFonts w:ascii="Times New Roman" w:hAnsi="Times New Roman" w:cs="Times New Roman"/>
          <w:sz w:val="22"/>
        </w:rPr>
        <w:t xml:space="preserve"> </w:t>
      </w:r>
      <w:r>
        <w:rPr>
          <w:rFonts w:ascii="Times New Roman" w:hAnsi="Times New Roman" w:cs="Times New Roman"/>
          <w:iCs/>
          <w:sz w:val="22"/>
        </w:rPr>
        <w:t>BDI, Beck Depression Inventory; CPAP, continuous positive airway pressure; ESS, Epworth Sleepiness Scale; PSQI, Pittsburgh Sleep Quality Inventory.</w:t>
      </w:r>
      <w:r>
        <w:rPr>
          <w:rFonts w:ascii="Times New Roman" w:hAnsi="Times New Roman" w:cs="Times New Roman"/>
          <w:sz w:val="22"/>
        </w:rPr>
        <w:t xml:space="preserve"> </w:t>
      </w:r>
    </w:p>
    <w:p>
      <w:pPr>
        <w:rPr>
          <w:rFonts w:ascii="Times New Roman" w:hAnsi="Times New Roman" w:cs="Times New Roman"/>
          <w:b/>
          <w:bCs/>
          <w:sz w:val="22"/>
        </w:rPr>
      </w:pPr>
      <w:bookmarkEnd w:id="55"/>
      <w:r>
        <w:rPr>
          <w:rFonts w:ascii="Times New Roman" w:hAnsi="Times New Roman" w:cs="Times New Roman"/>
          <w:b/>
          <w:bCs/>
          <w:sz w:val="22"/>
        </w:rPr>
        <w:br w:type="page"/>
      </w:r>
    </w:p>
    <w:p>
      <w:pPr>
        <w:rPr>
          <w:rFonts w:ascii="Times New Roman" w:hAnsi="Times New Roman" w:cs="Times New Roman"/>
          <w:color w:val="0070C0"/>
          <w:sz w:val="22"/>
        </w:rPr>
      </w:pPr>
      <w:bookmarkStart w:id="56" w:name="_Hlk149524220"/>
      <w:r>
        <w:rPr>
          <w:rFonts w:ascii="Times New Roman" w:hAnsi="Times New Roman" w:cs="Times New Roman"/>
          <w:b/>
          <w:bCs/>
          <w:szCs w:val="20"/>
          <w:highlight w:val="yellow"/>
        </w:rPr>
        <w:t xml:space="preserve">Supplementary Table </w:t>
      </w:r>
      <w:r>
        <w:rPr>
          <w:rFonts w:ascii="Times New Roman" w:hAnsi="Times New Roman" w:cs="Times New Roman"/>
          <w:b/>
          <w:bCs/>
          <w:szCs w:val="20"/>
          <w:highlight w:val="yellow"/>
        </w:rPr>
        <w:t>2</w:t>
      </w:r>
      <w:r>
        <w:rPr>
          <w:rFonts w:ascii="Times New Roman" w:hAnsi="Times New Roman" w:cs="Times New Roman"/>
          <w:b/>
          <w:bCs/>
          <w:szCs w:val="20"/>
          <w:highlight w:val="yellow"/>
        </w:rPr>
        <w:t>.</w:t>
      </w:r>
      <w:r>
        <w:rPr>
          <w:rFonts w:ascii="Times New Roman" w:hAnsi="Times New Roman" w:cs="Times New Roman"/>
          <w:szCs w:val="20"/>
          <w:highlight w:val="yellow"/>
        </w:rPr>
        <w:t xml:space="preserve"> </w:t>
      </w:r>
      <w:r>
        <w:rPr>
          <w:rFonts w:ascii="Times New Roman" w:hAnsi="Times New Roman" w:cs="Times New Roman"/>
          <w:color w:val="0070C0"/>
          <w:sz w:val="22"/>
          <w:highlight w:val="yellow"/>
        </w:rPr>
        <w:t>Comparison of the polysomnographic data between groups according to compliance and insurance coverage status</w:t>
      </w:r>
    </w:p>
    <w:p>
      <w:pPr>
        <w:rPr>
          <w:rFonts w:ascii="Times New Roman" w:hAnsi="Times New Roman" w:cs="Times New Roman"/>
          <w:sz w:val="22"/>
        </w:rPr>
      </w:pPr>
    </w:p>
    <w:tbl>
      <w:tblPr>
        <w:tblW w:w="10065" w:type="dxa"/>
        <w:tblLook w:val="04A0" w:firstRow="1" w:lastRow="0" w:firstColumn="1" w:lastColumn="0" w:noHBand="0" w:noVBand="1"/>
        <w:tblLayout w:type="fixed"/>
      </w:tblPr>
      <w:tblGrid>
        <w:gridCol w:w="426"/>
        <w:gridCol w:w="2126"/>
        <w:gridCol w:w="1276"/>
        <w:gridCol w:w="1559"/>
        <w:gridCol w:w="1276"/>
        <w:gridCol w:w="1417"/>
        <w:gridCol w:w="1985"/>
      </w:tblGrid>
      <w:tr>
        <w:trPr>
          <w:trHeight w:val="385" w:hRule="atLeast"/>
        </w:trPr>
        <w:tc>
          <w:tcPr>
            <w:tcW w:w="2552" w:type="dxa"/>
            <w:gridSpan w:val="2"/>
            <w:vMerge w:val="restart"/>
            <w:tcBorders>
              <w:top w:val="single" w:sz="4" w:space="0" w:color="auto"/>
            </w:tcBorders>
            <w:tcMar>
              <w:top w:w="0" w:type="dxa"/>
              <w:left w:w="0" w:type="dxa"/>
              <w:bottom w:w="0" w:type="dxa"/>
              <w:right w:w="0" w:type="dxa"/>
            </w:tcMar>
            <w:vAlign w:val="center"/>
            <w:hideMark/>
          </w:tcPr>
          <w:p>
            <w:pPr>
              <w:jc w:val="center"/>
              <w:rPr>
                <w:rFonts w:ascii="Times New Roman" w:hAnsi="Times New Roman" w:cs="Times New Roman"/>
                <w:b/>
                <w:bCs/>
                <w:sz w:val="22"/>
              </w:rPr>
            </w:pPr>
            <w:r>
              <w:rPr>
                <w:rFonts w:ascii="Times New Roman" w:hAnsi="Times New Roman" w:cs="Times New Roman"/>
                <w:b/>
                <w:bCs/>
                <w:sz w:val="22"/>
              </w:rPr>
              <w:t>Variables</w:t>
            </w:r>
          </w:p>
        </w:tc>
        <w:tc>
          <w:tcPr>
            <w:tcW w:w="2835" w:type="dxa"/>
            <w:gridSpan w:val="2"/>
            <w:tcBorders>
              <w:top w:val="single" w:sz="4" w:space="0" w:color="auto"/>
            </w:tcBorders>
            <w:tcMar>
              <w:top w:w="0" w:type="dxa"/>
              <w:left w:w="0" w:type="dxa"/>
              <w:bottom w:w="0" w:type="dxa"/>
              <w:right w:w="0" w:type="dxa"/>
            </w:tcMar>
            <w:vAlign w:val="center"/>
            <w:hideMark/>
          </w:tcPr>
          <w:p>
            <w:pPr>
              <w:jc w:val="center"/>
              <w:rPr>
                <w:rFonts w:ascii="Times New Roman" w:hAnsi="Times New Roman" w:cs="Times New Roman"/>
                <w:b/>
                <w:bCs/>
                <w:sz w:val="22"/>
              </w:rPr>
            </w:pPr>
            <w:r>
              <w:rPr>
                <w:rFonts w:ascii="Times New Roman" w:hAnsi="Times New Roman" w:cs="Times New Roman"/>
                <w:b/>
                <w:bCs/>
                <w:sz w:val="22"/>
              </w:rPr>
              <w:t>Compliant</w:t>
            </w:r>
            <w:r>
              <w:rPr>
                <w:rFonts w:ascii="Times New Roman" w:hAnsi="Times New Roman" w:cs="Times New Roman"/>
                <w:b/>
                <w:bCs/>
                <w:sz w:val="22"/>
              </w:rPr>
              <w:t xml:space="preserve"> </w:t>
            </w:r>
            <w:r>
              <w:rPr>
                <w:rFonts w:ascii="Times New Roman" w:hAnsi="Times New Roman" w:cs="Times New Roman"/>
                <w:b/>
                <w:bCs/>
                <w:sz w:val="22"/>
              </w:rPr>
              <w:t xml:space="preserve">(n = </w:t>
            </w:r>
            <w:r>
              <w:rPr>
                <w:rFonts w:ascii="Times New Roman" w:hAnsi="Times New Roman" w:cs="Times New Roman"/>
                <w:b/>
                <w:bCs/>
                <w:sz w:val="22"/>
              </w:rPr>
              <w:t>80</w:t>
            </w:r>
            <w:r>
              <w:rPr>
                <w:rFonts w:ascii="Times New Roman" w:hAnsi="Times New Roman" w:cs="Times New Roman"/>
                <w:b/>
                <w:bCs/>
                <w:sz w:val="22"/>
              </w:rPr>
              <w:t>)</w:t>
            </w:r>
          </w:p>
          <w:p>
            <w:pPr>
              <w:jc w:val="center"/>
              <w:rPr>
                <w:rFonts w:ascii="Times New Roman" w:hAnsi="Times New Roman" w:cs="Times New Roman"/>
                <w:b/>
                <w:bCs/>
                <w:sz w:val="22"/>
              </w:rPr>
            </w:pPr>
          </w:p>
        </w:tc>
        <w:tc>
          <w:tcPr>
            <w:tcW w:w="2693" w:type="dxa"/>
            <w:gridSpan w:val="2"/>
            <w:tcBorders>
              <w:top w:val="single" w:sz="4" w:space="0" w:color="auto"/>
            </w:tcBorders>
            <w:tcMar>
              <w:top w:w="0" w:type="dxa"/>
              <w:left w:w="0" w:type="dxa"/>
              <w:bottom w:w="0" w:type="dxa"/>
              <w:right w:w="0" w:type="dxa"/>
            </w:tcMar>
            <w:vAlign w:val="center"/>
            <w:hideMark/>
          </w:tcPr>
          <w:p>
            <w:pPr>
              <w:jc w:val="center"/>
              <w:rPr>
                <w:rFonts w:ascii="Times New Roman" w:hAnsi="Times New Roman" w:cs="Times New Roman"/>
                <w:b/>
                <w:bCs/>
                <w:sz w:val="22"/>
              </w:rPr>
            </w:pPr>
            <w:r>
              <w:rPr>
                <w:rFonts w:ascii="Times New Roman" w:hAnsi="Times New Roman" w:cs="Times New Roman"/>
                <w:b/>
                <w:bCs/>
                <w:sz w:val="22"/>
              </w:rPr>
              <w:t>Non-compliant (n = 108)</w:t>
            </w:r>
          </w:p>
        </w:tc>
        <w:tc>
          <w:tcPr>
            <w:tcW w:w="1985" w:type="dxa"/>
            <w:vMerge w:val="restart"/>
            <w:tcBorders>
              <w:top w:val="single" w:sz="4" w:space="0" w:color="auto"/>
            </w:tcBorders>
            <w:tcMar>
              <w:top w:w="0" w:type="dxa"/>
              <w:left w:w="0" w:type="dxa"/>
              <w:bottom w:w="0" w:type="dxa"/>
              <w:right w:w="0" w:type="dxa"/>
            </w:tcMar>
            <w:vAlign w:val="center"/>
            <w:hideMark/>
          </w:tcPr>
          <w:p>
            <w:pPr>
              <w:jc w:val="center"/>
              <w:rPr>
                <w:rFonts w:ascii="Times New Roman" w:hAnsi="Times New Roman" w:cs="Times New Roman"/>
                <w:b/>
                <w:bCs/>
                <w:sz w:val="22"/>
              </w:rPr>
            </w:pPr>
            <w:r>
              <w:rPr>
                <w:rFonts w:ascii="Times New Roman" w:hAnsi="Times New Roman" w:cs="Times New Roman"/>
                <w:b/>
                <w:bCs/>
                <w:sz w:val="22"/>
              </w:rPr>
              <w:t>Statistics</w:t>
            </w:r>
            <w:r>
              <w:rPr>
                <w:rFonts w:ascii="Times New Roman" w:hAnsi="Times New Roman" w:cs="Times New Roman"/>
                <w:sz w:val="28"/>
                <w:vertAlign w:val="superscript"/>
              </w:rPr>
              <w:t>a</w:t>
            </w:r>
          </w:p>
        </w:tc>
      </w:tr>
      <w:tr>
        <w:trPr>
          <w:trHeight w:val="321" w:hRule="atLeast"/>
        </w:trPr>
        <w:tc>
          <w:tcPr>
            <w:tcW w:w="2552" w:type="dxa"/>
            <w:gridSpan w:val="2"/>
            <w:vMerge w:val="continue"/>
            <w:tcMar>
              <w:top w:w="0" w:type="dxa"/>
              <w:left w:w="0" w:type="dxa"/>
              <w:bottom w:w="0" w:type="dxa"/>
              <w:right w:w="0" w:type="dxa"/>
            </w:tcMar>
            <w:vAlign w:val="center"/>
          </w:tcPr>
          <w:p>
            <w:pPr>
              <w:rPr>
                <w:rFonts w:ascii="Times New Roman" w:hAnsi="Times New Roman" w:cs="Times New Roman"/>
                <w:sz w:val="22"/>
              </w:rPr>
            </w:pPr>
          </w:p>
        </w:tc>
        <w:tc>
          <w:tcPr>
            <w:tcW w:w="1276" w:type="dxa"/>
            <w:tcMar>
              <w:top w:w="0" w:type="dxa"/>
              <w:left w:w="0" w:type="dxa"/>
              <w:bottom w:w="0" w:type="dxa"/>
              <w:right w:w="0" w:type="dxa"/>
            </w:tcMar>
            <w:vAlign w:val="center"/>
          </w:tcPr>
          <w:p>
            <w:pPr>
              <w:jc w:val="center"/>
              <w:rPr>
                <w:rFonts w:ascii="Times New Roman" w:hAnsi="Times New Roman" w:cs="Times New Roman"/>
                <w:color w:val="0070C0"/>
                <w:sz w:val="22"/>
              </w:rPr>
            </w:pPr>
            <w:r>
              <w:rPr>
                <w:rFonts w:ascii="Times New Roman" w:hAnsi="Times New Roman" w:cs="Times New Roman"/>
                <w:color w:val="0070C0"/>
                <w:sz w:val="22"/>
              </w:rPr>
              <w:t xml:space="preserve">insured </w:t>
            </w:r>
          </w:p>
          <w:p>
            <w:pPr>
              <w:jc w:val="center"/>
              <w:rPr>
                <w:rFonts w:ascii="Times New Roman" w:hAnsi="Times New Roman" w:cs="Times New Roman"/>
                <w:color w:val="0070C0"/>
                <w:sz w:val="22"/>
              </w:rPr>
            </w:pPr>
            <w:r>
              <w:rPr>
                <w:rFonts w:ascii="Times New Roman" w:hAnsi="Times New Roman" w:cs="Times New Roman"/>
                <w:b/>
                <w:bCs/>
                <w:color w:val="0070C0"/>
                <w:sz w:val="22"/>
              </w:rPr>
              <w:t>(n = 50)</w:t>
            </w:r>
          </w:p>
        </w:tc>
        <w:tc>
          <w:tcPr>
            <w:tcW w:w="1559" w:type="dxa"/>
            <w:vAlign w:val="center"/>
          </w:tcPr>
          <w:p>
            <w:pPr>
              <w:jc w:val="center"/>
              <w:rPr>
                <w:rFonts w:ascii="Times New Roman" w:hAnsi="Times New Roman" w:cs="Times New Roman"/>
                <w:color w:val="0070C0"/>
                <w:sz w:val="22"/>
              </w:rPr>
            </w:pPr>
            <w:r>
              <w:rPr>
                <w:rFonts w:ascii="Times New Roman" w:hAnsi="Times New Roman" w:cs="Times New Roman"/>
                <w:color w:val="0070C0"/>
                <w:sz w:val="22"/>
              </w:rPr>
              <w:t xml:space="preserve">non-insured </w:t>
            </w:r>
          </w:p>
          <w:p>
            <w:pPr>
              <w:jc w:val="center"/>
              <w:rPr>
                <w:rFonts w:ascii="Times New Roman" w:hAnsi="Times New Roman" w:cs="Times New Roman"/>
                <w:color w:val="0070C0"/>
                <w:sz w:val="22"/>
              </w:rPr>
            </w:pPr>
            <w:r>
              <w:rPr>
                <w:rFonts w:ascii="Times New Roman" w:hAnsi="Times New Roman" w:cs="Times New Roman"/>
                <w:b/>
                <w:bCs/>
                <w:color w:val="0070C0"/>
                <w:sz w:val="22"/>
              </w:rPr>
              <w:t>(n = 30)</w:t>
            </w:r>
          </w:p>
        </w:tc>
        <w:tc>
          <w:tcPr>
            <w:tcW w:w="1276" w:type="dxa"/>
            <w:tcMar>
              <w:top w:w="0" w:type="dxa"/>
              <w:left w:w="0" w:type="dxa"/>
              <w:bottom w:w="0" w:type="dxa"/>
              <w:right w:w="0" w:type="dxa"/>
            </w:tcMar>
            <w:vAlign w:val="center"/>
          </w:tcPr>
          <w:p>
            <w:pPr>
              <w:jc w:val="center"/>
              <w:rPr>
                <w:rFonts w:ascii="Times New Roman" w:hAnsi="Times New Roman" w:cs="Times New Roman"/>
                <w:color w:val="0070C0"/>
                <w:sz w:val="22"/>
              </w:rPr>
            </w:pPr>
            <w:r>
              <w:rPr>
                <w:rFonts w:ascii="Times New Roman" w:hAnsi="Times New Roman" w:cs="Times New Roman"/>
                <w:color w:val="0070C0"/>
                <w:sz w:val="22"/>
              </w:rPr>
              <w:t xml:space="preserve">insured </w:t>
            </w:r>
          </w:p>
          <w:p>
            <w:pPr>
              <w:jc w:val="center"/>
              <w:rPr>
                <w:rFonts w:ascii="Times New Roman" w:hAnsi="Times New Roman" w:cs="Times New Roman"/>
                <w:color w:val="0070C0"/>
                <w:sz w:val="22"/>
              </w:rPr>
            </w:pPr>
            <w:r>
              <w:rPr>
                <w:rFonts w:ascii="Times New Roman" w:hAnsi="Times New Roman" w:cs="Times New Roman"/>
                <w:b/>
                <w:bCs/>
                <w:color w:val="0070C0"/>
                <w:sz w:val="22"/>
              </w:rPr>
              <w:t>(n = 46)</w:t>
            </w:r>
          </w:p>
        </w:tc>
        <w:tc>
          <w:tcPr>
            <w:tcW w:w="1417" w:type="dxa"/>
            <w:vAlign w:val="center"/>
          </w:tcPr>
          <w:p>
            <w:pPr>
              <w:jc w:val="center"/>
              <w:rPr>
                <w:rFonts w:ascii="Times New Roman" w:hAnsi="Times New Roman" w:cs="Times New Roman"/>
                <w:i/>
                <w:iCs/>
                <w:color w:val="0070C0"/>
                <w:sz w:val="22"/>
              </w:rPr>
            </w:pPr>
            <w:r>
              <w:rPr>
                <w:rFonts w:ascii="Times New Roman" w:hAnsi="Times New Roman" w:cs="Times New Roman"/>
                <w:color w:val="0070C0"/>
                <w:sz w:val="22"/>
              </w:rPr>
              <w:t xml:space="preserve">non-insured </w:t>
            </w:r>
            <w:r>
              <w:rPr>
                <w:rFonts w:ascii="Times New Roman" w:hAnsi="Times New Roman" w:cs="Times New Roman"/>
                <w:b/>
                <w:bCs/>
                <w:color w:val="0070C0"/>
                <w:sz w:val="22"/>
              </w:rPr>
              <w:t>(n = 62)</w:t>
            </w:r>
          </w:p>
        </w:tc>
        <w:tc>
          <w:tcPr>
            <w:tcW w:w="1985" w:type="dxa"/>
            <w:vMerge w:val="continue"/>
            <w:tcMar>
              <w:top w:w="0" w:type="dxa"/>
              <w:left w:w="0" w:type="dxa"/>
              <w:bottom w:w="0" w:type="dxa"/>
              <w:right w:w="0" w:type="dxa"/>
            </w:tcMar>
            <w:vAlign w:val="center"/>
          </w:tcPr>
          <w:p>
            <w:pPr>
              <w:rPr>
                <w:rFonts w:ascii="Times New Roman" w:hAnsi="Times New Roman" w:cs="Times New Roman"/>
                <w:i/>
                <w:iCs/>
                <w:sz w:val="22"/>
              </w:rPr>
            </w:pPr>
          </w:p>
        </w:tc>
      </w:tr>
      <w:tr>
        <w:trPr>
          <w:trHeight w:val="321" w:hRule="atLeast"/>
        </w:trPr>
        <w:tc>
          <w:tcPr>
            <w:tcW w:w="2552" w:type="dxa"/>
            <w:gridSpan w:val="2"/>
            <w:tcMar>
              <w:top w:w="0" w:type="dxa"/>
              <w:left w:w="0" w:type="dxa"/>
              <w:bottom w:w="0" w:type="dxa"/>
              <w:right w:w="0" w:type="dxa"/>
            </w:tcMar>
            <w:vAlign w:val="center"/>
          </w:tcPr>
          <w:p>
            <w:pPr>
              <w:rPr>
                <w:rFonts w:ascii="Times New Roman" w:hAnsi="Times New Roman" w:cs="Times New Roman"/>
                <w:sz w:val="22"/>
              </w:rPr>
            </w:pPr>
            <w:r>
              <w:rPr>
                <w:rFonts w:ascii="Times New Roman" w:hAnsi="Times New Roman" w:cs="Times New Roman"/>
                <w:color w:val="0070C0"/>
                <w:szCs w:val="20"/>
              </w:rPr>
              <w:t>CPAP pressure, cmH2O</w:t>
            </w:r>
          </w:p>
        </w:tc>
        <w:tc>
          <w:tcPr>
            <w:tcW w:w="1276" w:type="dxa"/>
            <w:tcMar>
              <w:top w:w="0" w:type="dxa"/>
              <w:left w:w="0" w:type="dxa"/>
              <w:bottom w:w="0" w:type="dxa"/>
              <w:right w:w="0" w:type="dxa"/>
            </w:tcMar>
            <w:vAlign w:val="center"/>
          </w:tcPr>
          <w:p>
            <w:pPr>
              <w:jc w:val="center"/>
              <w:rPr>
                <w:rFonts w:ascii="Times New Roman" w:hAnsi="Times New Roman" w:cs="Times New Roman"/>
                <w:sz w:val="22"/>
              </w:rPr>
            </w:pPr>
            <w:r>
              <w:rPr>
                <w:rFonts w:ascii="Times New Roman" w:hAnsi="Times New Roman" w:cs="Times New Roman"/>
                <w:sz w:val="22"/>
              </w:rPr>
              <w:t>9.1 ± 1.8</w:t>
            </w:r>
          </w:p>
        </w:tc>
        <w:tc>
          <w:tcPr>
            <w:tcW w:w="1559" w:type="dxa"/>
            <w:vAlign w:val="center"/>
          </w:tcPr>
          <w:p>
            <w:pPr>
              <w:jc w:val="center"/>
              <w:rPr>
                <w:rFonts w:ascii="Times New Roman" w:hAnsi="Times New Roman" w:cs="Times New Roman" w:hint="eastAsia"/>
                <w:sz w:val="22"/>
              </w:rPr>
            </w:pPr>
            <w:r>
              <w:rPr>
                <w:rFonts w:ascii="Times New Roman" w:hAnsi="Times New Roman" w:cs="Times New Roman" w:hint="eastAsia"/>
                <w:sz w:val="22"/>
              </w:rPr>
              <w:t>8</w:t>
            </w:r>
            <w:r>
              <w:rPr>
                <w:rFonts w:ascii="Times New Roman" w:hAnsi="Times New Roman" w:cs="Times New Roman"/>
                <w:sz w:val="22"/>
              </w:rPr>
              <w:t>.8 ± 1.8</w:t>
            </w:r>
          </w:p>
        </w:tc>
        <w:tc>
          <w:tcPr>
            <w:tcW w:w="1276" w:type="dxa"/>
            <w:tcMar>
              <w:top w:w="0" w:type="dxa"/>
              <w:left w:w="0" w:type="dxa"/>
              <w:bottom w:w="0" w:type="dxa"/>
              <w:right w:w="0" w:type="dxa"/>
            </w:tcMar>
            <w:vAlign w:val="center"/>
          </w:tcPr>
          <w:p>
            <w:pPr>
              <w:jc w:val="center"/>
              <w:rPr>
                <w:rFonts w:ascii="Times New Roman" w:hAnsi="Times New Roman" w:cs="Times New Roman"/>
                <w:sz w:val="22"/>
              </w:rPr>
            </w:pPr>
            <w:r>
              <w:rPr>
                <w:rFonts w:ascii="Times New Roman" w:hAnsi="Times New Roman" w:cs="Times New Roman" w:hint="eastAsia"/>
                <w:sz w:val="22"/>
              </w:rPr>
              <w:t>8</w:t>
            </w:r>
            <w:r>
              <w:rPr>
                <w:rFonts w:ascii="Times New Roman" w:hAnsi="Times New Roman" w:cs="Times New Roman"/>
                <w:sz w:val="22"/>
              </w:rPr>
              <w:t>.4 ± 1.9</w:t>
            </w:r>
          </w:p>
        </w:tc>
        <w:tc>
          <w:tcPr>
            <w:tcW w:w="1417" w:type="dxa"/>
            <w:vAlign w:val="center"/>
          </w:tcPr>
          <w:p>
            <w:pPr>
              <w:jc w:val="center"/>
              <w:rPr>
                <w:rFonts w:ascii="Times New Roman" w:hAnsi="Times New Roman" w:cs="Times New Roman"/>
                <w:i/>
                <w:iCs/>
                <w:sz w:val="22"/>
              </w:rPr>
            </w:pPr>
            <w:r>
              <w:rPr>
                <w:rFonts w:ascii="Times New Roman" w:hAnsi="Times New Roman" w:cs="Times New Roman" w:hint="eastAsia"/>
                <w:sz w:val="22"/>
              </w:rPr>
              <w:t>8</w:t>
            </w:r>
            <w:r>
              <w:rPr>
                <w:rFonts w:ascii="Times New Roman" w:hAnsi="Times New Roman" w:cs="Times New Roman"/>
                <w:sz w:val="22"/>
              </w:rPr>
              <w:t>.9 ± 1.1</w:t>
            </w:r>
          </w:p>
        </w:tc>
        <w:tc>
          <w:tcPr>
            <w:tcW w:w="1985" w:type="dxa"/>
            <w:tcMar>
              <w:top w:w="0" w:type="dxa"/>
              <w:left w:w="0" w:type="dxa"/>
              <w:bottom w:w="0" w:type="dxa"/>
              <w:right w:w="0" w:type="dxa"/>
            </w:tcMar>
            <w:vAlign w:val="center"/>
          </w:tcPr>
          <w:p>
            <w:pPr>
              <w:rPr>
                <w:rFonts w:ascii="Times New Roman" w:hAnsi="Times New Roman" w:cs="Times New Roman"/>
                <w:i/>
                <w:iCs/>
                <w:sz w:val="22"/>
              </w:rPr>
            </w:pPr>
            <w:r>
              <w:rPr>
                <w:rFonts w:ascii="Times New Roman" w:hAnsi="Times New Roman" w:cs="Times New Roman"/>
                <w:i/>
                <w:iCs/>
                <w:color w:val="0070C0"/>
                <w:sz w:val="22"/>
              </w:rPr>
              <w:t xml:space="preserve">F </w:t>
            </w:r>
            <w:r>
              <w:rPr>
                <w:rFonts w:ascii="Times New Roman" w:hAnsi="Times New Roman" w:cs="Times New Roman"/>
                <w:color w:val="0070C0"/>
                <w:sz w:val="22"/>
              </w:rPr>
              <w:t xml:space="preserve">= 1.44, </w:t>
            </w:r>
            <w:r>
              <w:rPr>
                <w:rFonts w:ascii="Times New Roman" w:hAnsi="Times New Roman" w:cs="Times New Roman"/>
                <w:i/>
                <w:iCs/>
                <w:color w:val="0070C0"/>
                <w:sz w:val="22"/>
              </w:rPr>
              <w:t>P</w:t>
            </w:r>
            <w:r>
              <w:rPr>
                <w:rFonts w:ascii="Times New Roman" w:hAnsi="Times New Roman" w:cs="Times New Roman"/>
                <w:i/>
                <w:color w:val="0070C0"/>
                <w:sz w:val="22"/>
              </w:rPr>
              <w:t xml:space="preserve"> </w:t>
            </w:r>
            <w:r>
              <w:rPr>
                <w:rFonts w:ascii="Times New Roman" w:hAnsi="Times New Roman" w:cs="Times New Roman"/>
                <w:color w:val="0070C0"/>
                <w:sz w:val="22"/>
              </w:rPr>
              <w:t>= 0.233</w:t>
            </w:r>
          </w:p>
        </w:tc>
      </w:tr>
      <w:tr>
        <w:trPr>
          <w:trHeight w:val="321" w:hRule="atLeast"/>
        </w:trPr>
        <w:tc>
          <w:tcPr>
            <w:tcW w:w="2552" w:type="dxa"/>
            <w:gridSpan w:val="2"/>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Apnea hypopnea Index</w:t>
            </w:r>
          </w:p>
        </w:tc>
        <w:tc>
          <w:tcPr>
            <w:tcW w:w="1276" w:type="dxa"/>
            <w:tcMar>
              <w:top w:w="0" w:type="dxa"/>
              <w:left w:w="0" w:type="dxa"/>
              <w:bottom w:w="0" w:type="dxa"/>
              <w:right w:w="0" w:type="dxa"/>
            </w:tcMar>
            <w:vAlign w:val="center"/>
            <w:hideMark/>
          </w:tcPr>
          <w:p>
            <w:pPr>
              <w:jc w:val="center"/>
              <w:rPr>
                <w:rFonts w:ascii="Times New Roman" w:hAnsi="Times New Roman" w:cs="Times New Roman"/>
                <w:sz w:val="22"/>
              </w:rPr>
            </w:pPr>
            <w:r>
              <w:rPr>
                <w:rFonts w:ascii="Times New Roman" w:hAnsi="Times New Roman" w:cs="Times New Roman"/>
                <w:sz w:val="22"/>
              </w:rPr>
              <w:t>44.1 ± 24.7</w:t>
            </w:r>
          </w:p>
        </w:tc>
        <w:tc>
          <w:tcPr>
            <w:tcW w:w="1559" w:type="dxa"/>
            <w:vAlign w:val="center"/>
          </w:tcPr>
          <w:p>
            <w:pPr>
              <w:jc w:val="center"/>
              <w:rPr>
                <w:rFonts w:ascii="Times New Roman" w:hAnsi="Times New Roman" w:cs="Times New Roman"/>
                <w:sz w:val="22"/>
              </w:rPr>
            </w:pPr>
            <w:r>
              <w:rPr>
                <w:rFonts w:ascii="Times New Roman" w:hAnsi="Times New Roman" w:cs="Times New Roman"/>
                <w:sz w:val="22"/>
              </w:rPr>
              <w:t>46.9 ± 21.9</w:t>
            </w:r>
          </w:p>
        </w:tc>
        <w:tc>
          <w:tcPr>
            <w:tcW w:w="1276" w:type="dxa"/>
            <w:tcMar>
              <w:top w:w="0" w:type="dxa"/>
              <w:left w:w="0" w:type="dxa"/>
              <w:bottom w:w="0" w:type="dxa"/>
              <w:right w:w="0" w:type="dxa"/>
            </w:tcMar>
            <w:vAlign w:val="center"/>
            <w:hideMark/>
          </w:tcPr>
          <w:p>
            <w:pPr>
              <w:jc w:val="center"/>
              <w:rPr>
                <w:rFonts w:ascii="Times New Roman" w:hAnsi="Times New Roman" w:cs="Times New Roman"/>
                <w:sz w:val="22"/>
              </w:rPr>
            </w:pPr>
            <w:r>
              <w:rPr>
                <w:rFonts w:ascii="Times New Roman" w:hAnsi="Times New Roman" w:cs="Times New Roman"/>
                <w:sz w:val="22"/>
              </w:rPr>
              <w:t>42.9 ± 26.0</w:t>
            </w:r>
          </w:p>
        </w:tc>
        <w:tc>
          <w:tcPr>
            <w:tcW w:w="1417" w:type="dxa"/>
            <w:vAlign w:val="center"/>
          </w:tcPr>
          <w:p>
            <w:pPr>
              <w:jc w:val="center"/>
              <w:rPr>
                <w:rFonts w:ascii="Times New Roman" w:hAnsi="Times New Roman" w:cs="Times New Roman"/>
                <w:i/>
                <w:iCs/>
                <w:sz w:val="22"/>
              </w:rPr>
            </w:pPr>
            <w:r>
              <w:rPr>
                <w:rFonts w:ascii="Times New Roman" w:hAnsi="Times New Roman" w:cs="Times New Roman"/>
                <w:sz w:val="22"/>
              </w:rPr>
              <w:t>220.1 ± 23.0</w:t>
            </w:r>
          </w:p>
        </w:tc>
        <w:tc>
          <w:tcPr>
            <w:tcW w:w="1985"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i/>
                <w:iCs/>
                <w:color w:val="0070C0"/>
                <w:sz w:val="22"/>
              </w:rPr>
              <w:t xml:space="preserve">F </w:t>
            </w:r>
            <w:r>
              <w:rPr>
                <w:rFonts w:ascii="Times New Roman" w:hAnsi="Times New Roman" w:cs="Times New Roman"/>
                <w:color w:val="0070C0"/>
                <w:sz w:val="22"/>
              </w:rPr>
              <w:t xml:space="preserve">= 0.973, </w:t>
            </w:r>
            <w:r>
              <w:rPr>
                <w:rFonts w:ascii="Times New Roman" w:hAnsi="Times New Roman" w:cs="Times New Roman"/>
                <w:i/>
                <w:iCs/>
                <w:color w:val="0070C0"/>
                <w:sz w:val="22"/>
              </w:rPr>
              <w:t>P</w:t>
            </w:r>
            <w:r>
              <w:rPr>
                <w:rFonts w:ascii="Times New Roman" w:hAnsi="Times New Roman" w:cs="Times New Roman"/>
                <w:i/>
                <w:color w:val="0070C0"/>
                <w:sz w:val="22"/>
              </w:rPr>
              <w:t xml:space="preserve"> </w:t>
            </w:r>
            <w:r>
              <w:rPr>
                <w:rFonts w:ascii="Times New Roman" w:hAnsi="Times New Roman" w:cs="Times New Roman"/>
                <w:color w:val="0070C0"/>
                <w:sz w:val="22"/>
              </w:rPr>
              <w:t>= 0.407</w:t>
            </w:r>
          </w:p>
        </w:tc>
      </w:tr>
      <w:tr>
        <w:trPr>
          <w:trHeight w:val="321" w:hRule="atLeast"/>
        </w:trPr>
        <w:tc>
          <w:tcPr>
            <w:tcW w:w="2552" w:type="dxa"/>
            <w:gridSpan w:val="2"/>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O</w:t>
            </w:r>
            <w:r>
              <w:rPr>
                <w:rFonts w:ascii="Times New Roman" w:hAnsi="Times New Roman" w:cs="Times New Roman"/>
                <w:sz w:val="22"/>
                <w:vertAlign w:val="subscript"/>
              </w:rPr>
              <w:t>2</w:t>
            </w:r>
            <w:r>
              <w:rPr>
                <w:rFonts w:ascii="Times New Roman" w:hAnsi="Times New Roman" w:cs="Times New Roman"/>
                <w:sz w:val="22"/>
              </w:rPr>
              <w:t xml:space="preserve"> saturation nadir</w:t>
            </w:r>
          </w:p>
        </w:tc>
        <w:tc>
          <w:tcPr>
            <w:tcW w:w="1276" w:type="dxa"/>
            <w:tcMar>
              <w:top w:w="0" w:type="dxa"/>
              <w:left w:w="0" w:type="dxa"/>
              <w:bottom w:w="0" w:type="dxa"/>
              <w:right w:w="0" w:type="dxa"/>
            </w:tcMar>
            <w:vAlign w:val="center"/>
            <w:hideMark/>
          </w:tcPr>
          <w:p>
            <w:pPr>
              <w:jc w:val="center"/>
              <w:rPr>
                <w:rFonts w:ascii="Times New Roman" w:hAnsi="Times New Roman" w:cs="Times New Roman"/>
                <w:sz w:val="22"/>
              </w:rPr>
            </w:pPr>
            <w:r>
              <w:rPr>
                <w:rFonts w:ascii="Times New Roman" w:hAnsi="Times New Roman" w:cs="Times New Roman"/>
                <w:sz w:val="22"/>
              </w:rPr>
              <w:t>75.8 ± 14.0</w:t>
            </w:r>
          </w:p>
        </w:tc>
        <w:tc>
          <w:tcPr>
            <w:tcW w:w="1559" w:type="dxa"/>
            <w:vAlign w:val="center"/>
          </w:tcPr>
          <w:p>
            <w:pPr>
              <w:jc w:val="center"/>
              <w:rPr>
                <w:rFonts w:ascii="Times New Roman" w:hAnsi="Times New Roman" w:cs="Times New Roman"/>
                <w:sz w:val="22"/>
              </w:rPr>
            </w:pPr>
            <w:r>
              <w:rPr>
                <w:rFonts w:ascii="Times New Roman" w:hAnsi="Times New Roman" w:cs="Times New Roman"/>
                <w:sz w:val="22"/>
              </w:rPr>
              <w:t>73.3 ± 11.2</w:t>
            </w:r>
          </w:p>
        </w:tc>
        <w:tc>
          <w:tcPr>
            <w:tcW w:w="1276" w:type="dxa"/>
            <w:tcMar>
              <w:top w:w="0" w:type="dxa"/>
              <w:left w:w="0" w:type="dxa"/>
              <w:bottom w:w="0" w:type="dxa"/>
              <w:right w:w="0" w:type="dxa"/>
            </w:tcMar>
            <w:vAlign w:val="center"/>
            <w:hideMark/>
          </w:tcPr>
          <w:p>
            <w:pPr>
              <w:jc w:val="center"/>
              <w:rPr>
                <w:rFonts w:ascii="Times New Roman" w:hAnsi="Times New Roman" w:cs="Times New Roman"/>
                <w:sz w:val="22"/>
              </w:rPr>
            </w:pPr>
            <w:r>
              <w:rPr>
                <w:rFonts w:ascii="Times New Roman" w:hAnsi="Times New Roman" w:cs="Times New Roman"/>
                <w:sz w:val="22"/>
              </w:rPr>
              <w:t>79.1 ± 8.8</w:t>
            </w:r>
          </w:p>
        </w:tc>
        <w:tc>
          <w:tcPr>
            <w:tcW w:w="1417" w:type="dxa"/>
            <w:vAlign w:val="center"/>
          </w:tcPr>
          <w:p>
            <w:pPr>
              <w:jc w:val="center"/>
              <w:rPr>
                <w:rFonts w:ascii="Times New Roman" w:hAnsi="Times New Roman" w:cs="Times New Roman"/>
                <w:i/>
                <w:iCs/>
                <w:sz w:val="22"/>
              </w:rPr>
            </w:pPr>
            <w:r>
              <w:rPr>
                <w:rFonts w:ascii="Times New Roman" w:hAnsi="Times New Roman" w:cs="Times New Roman"/>
                <w:sz w:val="22"/>
              </w:rPr>
              <w:t>75.1 ± 11.5</w:t>
            </w:r>
          </w:p>
        </w:tc>
        <w:tc>
          <w:tcPr>
            <w:tcW w:w="1985"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i/>
                <w:iCs/>
                <w:color w:val="0070C0"/>
                <w:sz w:val="22"/>
              </w:rPr>
              <w:t xml:space="preserve">F </w:t>
            </w:r>
            <w:r>
              <w:rPr>
                <w:rFonts w:ascii="Times New Roman" w:hAnsi="Times New Roman" w:cs="Times New Roman"/>
                <w:color w:val="0070C0"/>
                <w:sz w:val="22"/>
              </w:rPr>
              <w:t xml:space="preserve">= 1.744, </w:t>
            </w:r>
            <w:r>
              <w:rPr>
                <w:rFonts w:ascii="Times New Roman" w:hAnsi="Times New Roman" w:cs="Times New Roman"/>
                <w:i/>
                <w:iCs/>
                <w:color w:val="0070C0"/>
                <w:sz w:val="22"/>
              </w:rPr>
              <w:t>P</w:t>
            </w:r>
            <w:r>
              <w:rPr>
                <w:rFonts w:ascii="Times New Roman" w:hAnsi="Times New Roman" w:cs="Times New Roman"/>
                <w:i/>
                <w:color w:val="0070C0"/>
                <w:sz w:val="22"/>
              </w:rPr>
              <w:t xml:space="preserve"> </w:t>
            </w:r>
            <w:r>
              <w:rPr>
                <w:rFonts w:ascii="Times New Roman" w:hAnsi="Times New Roman" w:cs="Times New Roman"/>
                <w:color w:val="0070C0"/>
                <w:sz w:val="22"/>
              </w:rPr>
              <w:t>= 0.160</w:t>
            </w:r>
          </w:p>
        </w:tc>
      </w:tr>
      <w:tr>
        <w:trPr>
          <w:trHeight w:val="321" w:hRule="atLeast"/>
        </w:trPr>
        <w:tc>
          <w:tcPr>
            <w:tcW w:w="2552" w:type="dxa"/>
            <w:gridSpan w:val="2"/>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Total sleep time (min.)</w:t>
            </w:r>
          </w:p>
        </w:tc>
        <w:tc>
          <w:tcPr>
            <w:tcW w:w="1276" w:type="dxa"/>
            <w:tcMar>
              <w:top w:w="0" w:type="dxa"/>
              <w:left w:w="0" w:type="dxa"/>
              <w:bottom w:w="0" w:type="dxa"/>
              <w:right w:w="0" w:type="dxa"/>
            </w:tcMar>
            <w:vAlign w:val="center"/>
            <w:hideMark/>
          </w:tcPr>
          <w:p>
            <w:pPr>
              <w:jc w:val="center"/>
              <w:rPr>
                <w:rFonts w:ascii="Times New Roman" w:hAnsi="Times New Roman" w:cs="Times New Roman"/>
                <w:sz w:val="22"/>
              </w:rPr>
            </w:pPr>
            <w:r>
              <w:rPr>
                <w:rFonts w:ascii="Times New Roman" w:hAnsi="Times New Roman" w:cs="Times New Roman"/>
                <w:sz w:val="22"/>
              </w:rPr>
              <w:t>335.5 ± 50.7</w:t>
            </w:r>
          </w:p>
        </w:tc>
        <w:tc>
          <w:tcPr>
            <w:tcW w:w="1559" w:type="dxa"/>
            <w:vAlign w:val="center"/>
          </w:tcPr>
          <w:p>
            <w:pPr>
              <w:jc w:val="center"/>
              <w:rPr>
                <w:rFonts w:ascii="Times New Roman" w:hAnsi="Times New Roman" w:cs="Times New Roman"/>
                <w:sz w:val="22"/>
              </w:rPr>
            </w:pPr>
            <w:r>
              <w:rPr>
                <w:rFonts w:ascii="Times New Roman" w:hAnsi="Times New Roman" w:cs="Times New Roman"/>
                <w:sz w:val="22"/>
              </w:rPr>
              <w:t>345.7 ± 40.4</w:t>
            </w:r>
          </w:p>
        </w:tc>
        <w:tc>
          <w:tcPr>
            <w:tcW w:w="1276" w:type="dxa"/>
            <w:tcMar>
              <w:top w:w="0" w:type="dxa"/>
              <w:left w:w="0" w:type="dxa"/>
              <w:bottom w:w="0" w:type="dxa"/>
              <w:right w:w="0" w:type="dxa"/>
            </w:tcMar>
            <w:vAlign w:val="center"/>
            <w:hideMark/>
          </w:tcPr>
          <w:p>
            <w:pPr>
              <w:jc w:val="center"/>
              <w:rPr>
                <w:rFonts w:ascii="Times New Roman" w:hAnsi="Times New Roman" w:cs="Times New Roman"/>
                <w:sz w:val="22"/>
              </w:rPr>
            </w:pPr>
            <w:r>
              <w:rPr>
                <w:rFonts w:ascii="Times New Roman" w:hAnsi="Times New Roman" w:cs="Times New Roman"/>
                <w:sz w:val="22"/>
              </w:rPr>
              <w:t>331.0 ± 49.7</w:t>
            </w:r>
          </w:p>
        </w:tc>
        <w:tc>
          <w:tcPr>
            <w:tcW w:w="1417" w:type="dxa"/>
            <w:vAlign w:val="center"/>
          </w:tcPr>
          <w:p>
            <w:pPr>
              <w:jc w:val="center"/>
              <w:rPr>
                <w:rFonts w:ascii="Times New Roman" w:hAnsi="Times New Roman" w:cs="Times New Roman"/>
                <w:i/>
                <w:iCs/>
                <w:sz w:val="22"/>
              </w:rPr>
            </w:pPr>
            <w:r>
              <w:rPr>
                <w:rFonts w:ascii="Times New Roman" w:hAnsi="Times New Roman" w:cs="Times New Roman"/>
                <w:sz w:val="22"/>
              </w:rPr>
              <w:t>344.6 ± 63.4</w:t>
            </w:r>
          </w:p>
        </w:tc>
        <w:tc>
          <w:tcPr>
            <w:tcW w:w="1985"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i/>
                <w:iCs/>
                <w:color w:val="0070C0"/>
                <w:sz w:val="22"/>
              </w:rPr>
              <w:t xml:space="preserve">F </w:t>
            </w:r>
            <w:r>
              <w:rPr>
                <w:rFonts w:ascii="Times New Roman" w:hAnsi="Times New Roman" w:cs="Times New Roman"/>
                <w:color w:val="0070C0"/>
                <w:sz w:val="22"/>
              </w:rPr>
              <w:t xml:space="preserve">= 0.800, </w:t>
            </w:r>
            <w:r>
              <w:rPr>
                <w:rFonts w:ascii="Times New Roman" w:hAnsi="Times New Roman" w:cs="Times New Roman"/>
                <w:i/>
                <w:iCs/>
                <w:color w:val="0070C0"/>
                <w:sz w:val="22"/>
              </w:rPr>
              <w:t>P</w:t>
            </w:r>
            <w:r>
              <w:rPr>
                <w:rFonts w:ascii="Times New Roman" w:hAnsi="Times New Roman" w:cs="Times New Roman"/>
                <w:i/>
                <w:color w:val="0070C0"/>
                <w:sz w:val="22"/>
              </w:rPr>
              <w:t xml:space="preserve"> </w:t>
            </w:r>
            <w:r>
              <w:rPr>
                <w:rFonts w:ascii="Times New Roman" w:hAnsi="Times New Roman" w:cs="Times New Roman"/>
                <w:color w:val="0070C0"/>
                <w:sz w:val="22"/>
              </w:rPr>
              <w:t>= 0.495</w:t>
            </w:r>
          </w:p>
        </w:tc>
      </w:tr>
      <w:tr>
        <w:trPr>
          <w:trHeight w:val="321" w:hRule="atLeast"/>
        </w:trPr>
        <w:tc>
          <w:tcPr>
            <w:tcW w:w="2552" w:type="dxa"/>
            <w:gridSpan w:val="2"/>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Sleep efficiency (%)</w:t>
            </w:r>
          </w:p>
        </w:tc>
        <w:tc>
          <w:tcPr>
            <w:tcW w:w="1276" w:type="dxa"/>
            <w:tcMar>
              <w:top w:w="0" w:type="dxa"/>
              <w:left w:w="0" w:type="dxa"/>
              <w:bottom w:w="0" w:type="dxa"/>
              <w:right w:w="0" w:type="dxa"/>
            </w:tcMar>
            <w:vAlign w:val="center"/>
            <w:hideMark/>
          </w:tcPr>
          <w:p>
            <w:pPr>
              <w:jc w:val="center"/>
              <w:rPr>
                <w:rFonts w:ascii="Times New Roman" w:hAnsi="Times New Roman" w:cs="Times New Roman"/>
                <w:sz w:val="22"/>
              </w:rPr>
            </w:pPr>
            <w:r>
              <w:rPr>
                <w:rFonts w:ascii="Times New Roman" w:hAnsi="Times New Roman" w:cs="Times New Roman"/>
                <w:sz w:val="22"/>
              </w:rPr>
              <w:t>82.3 ± 12.6</w:t>
            </w:r>
          </w:p>
        </w:tc>
        <w:tc>
          <w:tcPr>
            <w:tcW w:w="1559" w:type="dxa"/>
            <w:vAlign w:val="center"/>
          </w:tcPr>
          <w:p>
            <w:pPr>
              <w:jc w:val="center"/>
              <w:rPr>
                <w:rFonts w:ascii="Times New Roman" w:hAnsi="Times New Roman" w:cs="Times New Roman"/>
                <w:b/>
                <w:bCs/>
                <w:sz w:val="22"/>
              </w:rPr>
            </w:pPr>
            <w:r>
              <w:rPr>
                <w:rFonts w:ascii="Times New Roman" w:hAnsi="Times New Roman" w:cs="Times New Roman"/>
                <w:sz w:val="22"/>
              </w:rPr>
              <w:t>83.6 ± 10.6</w:t>
            </w:r>
          </w:p>
        </w:tc>
        <w:tc>
          <w:tcPr>
            <w:tcW w:w="1276" w:type="dxa"/>
            <w:tcMar>
              <w:top w:w="0" w:type="dxa"/>
              <w:left w:w="0" w:type="dxa"/>
              <w:bottom w:w="0" w:type="dxa"/>
              <w:right w:w="0" w:type="dxa"/>
            </w:tcMar>
            <w:vAlign w:val="center"/>
            <w:hideMark/>
          </w:tcPr>
          <w:p>
            <w:pPr>
              <w:jc w:val="center"/>
              <w:rPr>
                <w:rFonts w:ascii="Times New Roman" w:hAnsi="Times New Roman" w:cs="Times New Roman"/>
                <w:sz w:val="22"/>
              </w:rPr>
            </w:pPr>
            <w:r>
              <w:rPr>
                <w:rFonts w:ascii="Times New Roman" w:hAnsi="Times New Roman" w:cs="Times New Roman"/>
                <w:sz w:val="22"/>
              </w:rPr>
              <w:t>80.5 ± 12.3</w:t>
            </w:r>
          </w:p>
        </w:tc>
        <w:tc>
          <w:tcPr>
            <w:tcW w:w="1417" w:type="dxa"/>
            <w:vAlign w:val="center"/>
          </w:tcPr>
          <w:p>
            <w:pPr>
              <w:jc w:val="center"/>
              <w:rPr>
                <w:rFonts w:ascii="Times New Roman" w:hAnsi="Times New Roman" w:cs="Times New Roman"/>
                <w:i/>
                <w:iCs/>
                <w:sz w:val="22"/>
              </w:rPr>
            </w:pPr>
            <w:r>
              <w:rPr>
                <w:rFonts w:ascii="Times New Roman" w:hAnsi="Times New Roman" w:cs="Times New Roman"/>
                <w:sz w:val="22"/>
              </w:rPr>
              <w:t>85.0 ± 11.4</w:t>
            </w:r>
          </w:p>
        </w:tc>
        <w:tc>
          <w:tcPr>
            <w:tcW w:w="1985"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i/>
                <w:iCs/>
                <w:color w:val="0070C0"/>
                <w:sz w:val="22"/>
              </w:rPr>
              <w:t xml:space="preserve">F </w:t>
            </w:r>
            <w:r>
              <w:rPr>
                <w:rFonts w:ascii="Times New Roman" w:hAnsi="Times New Roman" w:cs="Times New Roman"/>
                <w:color w:val="0070C0"/>
                <w:sz w:val="22"/>
              </w:rPr>
              <w:t xml:space="preserve">= 1.372, </w:t>
            </w:r>
            <w:r>
              <w:rPr>
                <w:rFonts w:ascii="Times New Roman" w:hAnsi="Times New Roman" w:cs="Times New Roman"/>
                <w:i/>
                <w:iCs/>
                <w:color w:val="0070C0"/>
                <w:sz w:val="22"/>
              </w:rPr>
              <w:t>P</w:t>
            </w:r>
            <w:r>
              <w:rPr>
                <w:rFonts w:ascii="Times New Roman" w:hAnsi="Times New Roman" w:cs="Times New Roman"/>
                <w:i/>
                <w:color w:val="0070C0"/>
                <w:sz w:val="22"/>
              </w:rPr>
              <w:t xml:space="preserve"> </w:t>
            </w:r>
            <w:r>
              <w:rPr>
                <w:rFonts w:ascii="Times New Roman" w:hAnsi="Times New Roman" w:cs="Times New Roman"/>
                <w:color w:val="0070C0"/>
                <w:sz w:val="22"/>
              </w:rPr>
              <w:t>= 0.253</w:t>
            </w:r>
          </w:p>
        </w:tc>
      </w:tr>
      <w:tr>
        <w:trPr>
          <w:trHeight w:val="321" w:hRule="atLeast"/>
        </w:trPr>
        <w:tc>
          <w:tcPr>
            <w:tcW w:w="2552" w:type="dxa"/>
            <w:gridSpan w:val="2"/>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Wake after sleep onset (%)</w:t>
            </w:r>
          </w:p>
        </w:tc>
        <w:tc>
          <w:tcPr>
            <w:tcW w:w="1276" w:type="dxa"/>
            <w:tcMar>
              <w:top w:w="0" w:type="dxa"/>
              <w:left w:w="0" w:type="dxa"/>
              <w:bottom w:w="0" w:type="dxa"/>
              <w:right w:w="0" w:type="dxa"/>
            </w:tcMar>
            <w:vAlign w:val="center"/>
            <w:hideMark/>
          </w:tcPr>
          <w:p>
            <w:pPr>
              <w:jc w:val="center"/>
              <w:rPr>
                <w:rFonts w:ascii="Times New Roman" w:hAnsi="Times New Roman" w:cs="Times New Roman"/>
                <w:sz w:val="22"/>
              </w:rPr>
            </w:pPr>
            <w:r>
              <w:rPr>
                <w:rFonts w:ascii="Times New Roman" w:hAnsi="Times New Roman" w:cs="Times New Roman"/>
                <w:sz w:val="22"/>
              </w:rPr>
              <w:t>16.0 ± 12.2</w:t>
            </w:r>
          </w:p>
        </w:tc>
        <w:tc>
          <w:tcPr>
            <w:tcW w:w="1559" w:type="dxa"/>
            <w:vAlign w:val="center"/>
          </w:tcPr>
          <w:p>
            <w:pPr>
              <w:jc w:val="center"/>
              <w:rPr>
                <w:rFonts w:ascii="Times New Roman" w:hAnsi="Times New Roman" w:cs="Times New Roman"/>
                <w:sz w:val="22"/>
              </w:rPr>
            </w:pPr>
            <w:r>
              <w:rPr>
                <w:rFonts w:ascii="Times New Roman" w:hAnsi="Times New Roman" w:cs="Times New Roman"/>
                <w:sz w:val="22"/>
              </w:rPr>
              <w:t>14.4 ± 10.4</w:t>
            </w:r>
          </w:p>
        </w:tc>
        <w:tc>
          <w:tcPr>
            <w:tcW w:w="1276" w:type="dxa"/>
            <w:tcMar>
              <w:top w:w="0" w:type="dxa"/>
              <w:left w:w="0" w:type="dxa"/>
              <w:bottom w:w="0" w:type="dxa"/>
              <w:right w:w="0" w:type="dxa"/>
            </w:tcMar>
            <w:vAlign w:val="center"/>
            <w:hideMark/>
          </w:tcPr>
          <w:p>
            <w:pPr>
              <w:jc w:val="center"/>
              <w:rPr>
                <w:rFonts w:ascii="Times New Roman" w:hAnsi="Times New Roman" w:cs="Times New Roman"/>
                <w:sz w:val="22"/>
              </w:rPr>
            </w:pPr>
            <w:r>
              <w:rPr>
                <w:rFonts w:ascii="Times New Roman" w:hAnsi="Times New Roman" w:cs="Times New Roman"/>
                <w:sz w:val="22"/>
              </w:rPr>
              <w:t>15.8 ± 11.0</w:t>
            </w:r>
          </w:p>
        </w:tc>
        <w:tc>
          <w:tcPr>
            <w:tcW w:w="1417" w:type="dxa"/>
            <w:vAlign w:val="center"/>
          </w:tcPr>
          <w:p>
            <w:pPr>
              <w:jc w:val="center"/>
              <w:rPr>
                <w:rFonts w:ascii="Times New Roman" w:hAnsi="Times New Roman" w:cs="Times New Roman"/>
                <w:i/>
                <w:iCs/>
                <w:sz w:val="22"/>
              </w:rPr>
            </w:pPr>
            <w:r>
              <w:rPr>
                <w:rFonts w:ascii="Times New Roman" w:hAnsi="Times New Roman" w:cs="Times New Roman"/>
                <w:sz w:val="22"/>
              </w:rPr>
              <w:t>13.5 ± 11.0</w:t>
            </w:r>
          </w:p>
        </w:tc>
        <w:tc>
          <w:tcPr>
            <w:tcW w:w="1985"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i/>
                <w:iCs/>
                <w:color w:val="0070C0"/>
                <w:sz w:val="22"/>
              </w:rPr>
              <w:t xml:space="preserve">F </w:t>
            </w:r>
            <w:r>
              <w:rPr>
                <w:rFonts w:ascii="Times New Roman" w:hAnsi="Times New Roman" w:cs="Times New Roman"/>
                <w:color w:val="0070C0"/>
                <w:sz w:val="22"/>
              </w:rPr>
              <w:t xml:space="preserve">= 0610, </w:t>
            </w:r>
            <w:r>
              <w:rPr>
                <w:rFonts w:ascii="Times New Roman" w:hAnsi="Times New Roman" w:cs="Times New Roman"/>
                <w:i/>
                <w:iCs/>
                <w:color w:val="0070C0"/>
                <w:sz w:val="22"/>
              </w:rPr>
              <w:t>P</w:t>
            </w:r>
            <w:r>
              <w:rPr>
                <w:rFonts w:ascii="Times New Roman" w:hAnsi="Times New Roman" w:cs="Times New Roman"/>
                <w:i/>
                <w:color w:val="0070C0"/>
                <w:sz w:val="22"/>
              </w:rPr>
              <w:t xml:space="preserve"> </w:t>
            </w:r>
            <w:r>
              <w:rPr>
                <w:rFonts w:ascii="Times New Roman" w:hAnsi="Times New Roman" w:cs="Times New Roman"/>
                <w:color w:val="0070C0"/>
                <w:sz w:val="22"/>
              </w:rPr>
              <w:t>= 0.609</w:t>
            </w:r>
          </w:p>
        </w:tc>
      </w:tr>
      <w:tr>
        <w:trPr>
          <w:trHeight w:val="321" w:hRule="atLeast"/>
        </w:trPr>
        <w:tc>
          <w:tcPr>
            <w:tcW w:w="2552" w:type="dxa"/>
            <w:gridSpan w:val="2"/>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Sleep onset latency</w:t>
            </w:r>
          </w:p>
        </w:tc>
        <w:tc>
          <w:tcPr>
            <w:tcW w:w="1276" w:type="dxa"/>
            <w:tcMar>
              <w:top w:w="0" w:type="dxa"/>
              <w:left w:w="0" w:type="dxa"/>
              <w:bottom w:w="0" w:type="dxa"/>
              <w:right w:w="0" w:type="dxa"/>
            </w:tcMar>
            <w:vAlign w:val="center"/>
            <w:hideMark/>
          </w:tcPr>
          <w:p>
            <w:pPr>
              <w:jc w:val="center"/>
              <w:rPr>
                <w:rFonts w:ascii="Times New Roman" w:hAnsi="Times New Roman" w:cs="Times New Roman"/>
                <w:sz w:val="22"/>
              </w:rPr>
            </w:pPr>
            <w:r>
              <w:rPr>
                <w:rFonts w:ascii="Times New Roman" w:hAnsi="Times New Roman" w:cs="Times New Roman"/>
                <w:sz w:val="22"/>
              </w:rPr>
              <w:t>8.7 ± 9.4</w:t>
            </w:r>
          </w:p>
        </w:tc>
        <w:tc>
          <w:tcPr>
            <w:tcW w:w="1559" w:type="dxa"/>
            <w:vAlign w:val="center"/>
          </w:tcPr>
          <w:p>
            <w:pPr>
              <w:jc w:val="center"/>
              <w:rPr>
                <w:rFonts w:ascii="Times New Roman" w:hAnsi="Times New Roman" w:cs="Times New Roman"/>
                <w:sz w:val="22"/>
              </w:rPr>
            </w:pPr>
            <w:r>
              <w:rPr>
                <w:rFonts w:ascii="Times New Roman" w:hAnsi="Times New Roman" w:cs="Times New Roman"/>
                <w:sz w:val="22"/>
              </w:rPr>
              <w:t>9.1 ± 10.6</w:t>
            </w:r>
          </w:p>
        </w:tc>
        <w:tc>
          <w:tcPr>
            <w:tcW w:w="1276" w:type="dxa"/>
            <w:tcMar>
              <w:top w:w="0" w:type="dxa"/>
              <w:left w:w="0" w:type="dxa"/>
              <w:bottom w:w="0" w:type="dxa"/>
              <w:right w:w="0" w:type="dxa"/>
            </w:tcMar>
            <w:vAlign w:val="center"/>
            <w:hideMark/>
          </w:tcPr>
          <w:p>
            <w:pPr>
              <w:jc w:val="center"/>
              <w:rPr>
                <w:rFonts w:ascii="Times New Roman" w:hAnsi="Times New Roman" w:cs="Times New Roman"/>
                <w:sz w:val="22"/>
              </w:rPr>
            </w:pPr>
            <w:r>
              <w:rPr>
                <w:rFonts w:ascii="Times New Roman" w:hAnsi="Times New Roman" w:cs="Times New Roman"/>
                <w:sz w:val="22"/>
              </w:rPr>
              <w:t>14.7 ± 28.0</w:t>
            </w:r>
          </w:p>
        </w:tc>
        <w:tc>
          <w:tcPr>
            <w:tcW w:w="1417" w:type="dxa"/>
            <w:vAlign w:val="center"/>
          </w:tcPr>
          <w:p>
            <w:pPr>
              <w:jc w:val="center"/>
              <w:rPr>
                <w:rFonts w:ascii="Times New Roman" w:hAnsi="Times New Roman" w:cs="Times New Roman"/>
                <w:i/>
                <w:iCs/>
                <w:sz w:val="22"/>
              </w:rPr>
            </w:pPr>
            <w:r>
              <w:rPr>
                <w:rFonts w:ascii="Times New Roman" w:hAnsi="Times New Roman" w:cs="Times New Roman"/>
                <w:sz w:val="22"/>
              </w:rPr>
              <w:t>8.3 ± 9.9</w:t>
            </w:r>
          </w:p>
        </w:tc>
        <w:tc>
          <w:tcPr>
            <w:tcW w:w="1985"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i/>
                <w:iCs/>
                <w:color w:val="0070C0"/>
                <w:sz w:val="22"/>
              </w:rPr>
              <w:t xml:space="preserve">F </w:t>
            </w:r>
            <w:r>
              <w:rPr>
                <w:rFonts w:ascii="Times New Roman" w:hAnsi="Times New Roman" w:cs="Times New Roman"/>
                <w:color w:val="0070C0"/>
                <w:sz w:val="22"/>
              </w:rPr>
              <w:t xml:space="preserve">= 1.615, </w:t>
            </w:r>
            <w:r>
              <w:rPr>
                <w:rFonts w:ascii="Times New Roman" w:hAnsi="Times New Roman" w:cs="Times New Roman"/>
                <w:i/>
                <w:iCs/>
                <w:color w:val="0070C0"/>
                <w:sz w:val="22"/>
              </w:rPr>
              <w:t>P</w:t>
            </w:r>
            <w:r>
              <w:rPr>
                <w:rFonts w:ascii="Times New Roman" w:hAnsi="Times New Roman" w:cs="Times New Roman"/>
                <w:i/>
                <w:color w:val="0070C0"/>
                <w:sz w:val="22"/>
              </w:rPr>
              <w:t xml:space="preserve"> </w:t>
            </w:r>
            <w:r>
              <w:rPr>
                <w:rFonts w:ascii="Times New Roman" w:hAnsi="Times New Roman" w:cs="Times New Roman"/>
                <w:color w:val="0070C0"/>
                <w:sz w:val="22"/>
              </w:rPr>
              <w:t>= 0.187</w:t>
            </w:r>
          </w:p>
        </w:tc>
      </w:tr>
      <w:tr>
        <w:trPr>
          <w:trHeight w:val="321" w:hRule="atLeast"/>
        </w:trPr>
        <w:tc>
          <w:tcPr>
            <w:tcW w:w="2552" w:type="dxa"/>
            <w:gridSpan w:val="2"/>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REM sleep latency</w:t>
            </w:r>
          </w:p>
        </w:tc>
        <w:tc>
          <w:tcPr>
            <w:tcW w:w="1276" w:type="dxa"/>
            <w:tcMar>
              <w:top w:w="0" w:type="dxa"/>
              <w:left w:w="0" w:type="dxa"/>
              <w:bottom w:w="0" w:type="dxa"/>
              <w:right w:w="0" w:type="dxa"/>
            </w:tcMar>
            <w:vAlign w:val="center"/>
            <w:hideMark/>
          </w:tcPr>
          <w:p>
            <w:pPr>
              <w:jc w:val="center"/>
              <w:rPr>
                <w:rFonts w:ascii="Times New Roman" w:hAnsi="Times New Roman" w:cs="Times New Roman"/>
                <w:sz w:val="22"/>
              </w:rPr>
            </w:pPr>
            <w:r>
              <w:rPr>
                <w:rFonts w:ascii="Times New Roman" w:hAnsi="Times New Roman" w:cs="Times New Roman"/>
                <w:sz w:val="22"/>
              </w:rPr>
              <w:t>125.4 ± 79.6</w:t>
            </w:r>
          </w:p>
        </w:tc>
        <w:tc>
          <w:tcPr>
            <w:tcW w:w="1559" w:type="dxa"/>
            <w:vAlign w:val="center"/>
          </w:tcPr>
          <w:p>
            <w:pPr>
              <w:jc w:val="center"/>
              <w:rPr>
                <w:rFonts w:ascii="Times New Roman" w:hAnsi="Times New Roman" w:cs="Times New Roman"/>
                <w:sz w:val="22"/>
              </w:rPr>
            </w:pPr>
            <w:r>
              <w:rPr>
                <w:rFonts w:ascii="Times New Roman" w:hAnsi="Times New Roman" w:cs="Times New Roman"/>
                <w:sz w:val="22"/>
              </w:rPr>
              <w:t>160.5 ± 101.9</w:t>
            </w:r>
          </w:p>
        </w:tc>
        <w:tc>
          <w:tcPr>
            <w:tcW w:w="1276" w:type="dxa"/>
            <w:tcMar>
              <w:top w:w="0" w:type="dxa"/>
              <w:left w:w="0" w:type="dxa"/>
              <w:bottom w:w="0" w:type="dxa"/>
              <w:right w:w="0" w:type="dxa"/>
            </w:tcMar>
            <w:vAlign w:val="center"/>
            <w:hideMark/>
          </w:tcPr>
          <w:p>
            <w:pPr>
              <w:jc w:val="center"/>
              <w:rPr>
                <w:rFonts w:ascii="Times New Roman" w:hAnsi="Times New Roman" w:cs="Times New Roman"/>
                <w:sz w:val="22"/>
              </w:rPr>
            </w:pPr>
            <w:r>
              <w:rPr>
                <w:rFonts w:ascii="Times New Roman" w:hAnsi="Times New Roman" w:cs="Times New Roman"/>
                <w:sz w:val="22"/>
              </w:rPr>
              <w:t>153.4 ± 96.7</w:t>
            </w:r>
          </w:p>
        </w:tc>
        <w:tc>
          <w:tcPr>
            <w:tcW w:w="1417" w:type="dxa"/>
            <w:vAlign w:val="center"/>
          </w:tcPr>
          <w:p>
            <w:pPr>
              <w:jc w:val="center"/>
              <w:rPr>
                <w:rFonts w:ascii="Times New Roman" w:hAnsi="Times New Roman" w:cs="Times New Roman"/>
                <w:i/>
                <w:iCs/>
                <w:sz w:val="22"/>
              </w:rPr>
            </w:pPr>
            <w:r>
              <w:rPr>
                <w:rFonts w:ascii="Times New Roman" w:hAnsi="Times New Roman" w:cs="Times New Roman"/>
                <w:sz w:val="22"/>
              </w:rPr>
              <w:t>141.6 ± 77.9</w:t>
            </w:r>
          </w:p>
        </w:tc>
        <w:tc>
          <w:tcPr>
            <w:tcW w:w="1985"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i/>
                <w:iCs/>
                <w:color w:val="0070C0"/>
                <w:sz w:val="22"/>
              </w:rPr>
              <w:t xml:space="preserve">F </w:t>
            </w:r>
            <w:r>
              <w:rPr>
                <w:rFonts w:ascii="Times New Roman" w:hAnsi="Times New Roman" w:cs="Times New Roman"/>
                <w:color w:val="0070C0"/>
                <w:sz w:val="22"/>
              </w:rPr>
              <w:t xml:space="preserve">= 1.308, </w:t>
            </w:r>
            <w:r>
              <w:rPr>
                <w:rFonts w:ascii="Times New Roman" w:hAnsi="Times New Roman" w:cs="Times New Roman"/>
                <w:i/>
                <w:iCs/>
                <w:color w:val="0070C0"/>
                <w:sz w:val="22"/>
              </w:rPr>
              <w:t>P</w:t>
            </w:r>
            <w:r>
              <w:rPr>
                <w:rFonts w:ascii="Times New Roman" w:hAnsi="Times New Roman" w:cs="Times New Roman"/>
                <w:i/>
                <w:color w:val="0070C0"/>
                <w:sz w:val="22"/>
              </w:rPr>
              <w:t xml:space="preserve"> </w:t>
            </w:r>
            <w:r>
              <w:rPr>
                <w:rFonts w:ascii="Times New Roman" w:hAnsi="Times New Roman" w:cs="Times New Roman"/>
                <w:color w:val="0070C0"/>
                <w:sz w:val="22"/>
              </w:rPr>
              <w:t>= 0.273</w:t>
            </w:r>
          </w:p>
        </w:tc>
      </w:tr>
      <w:tr>
        <w:trPr>
          <w:trHeight w:val="321" w:hRule="atLeast"/>
        </w:trPr>
        <w:tc>
          <w:tcPr>
            <w:tcW w:w="2552" w:type="dxa"/>
            <w:gridSpan w:val="2"/>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PLMS (N/h)</w:t>
            </w:r>
          </w:p>
        </w:tc>
        <w:tc>
          <w:tcPr>
            <w:tcW w:w="1276" w:type="dxa"/>
            <w:tcMar>
              <w:top w:w="0" w:type="dxa"/>
              <w:left w:w="0" w:type="dxa"/>
              <w:bottom w:w="0" w:type="dxa"/>
              <w:right w:w="0" w:type="dxa"/>
            </w:tcMar>
            <w:vAlign w:val="center"/>
            <w:hideMark/>
          </w:tcPr>
          <w:p>
            <w:pPr>
              <w:jc w:val="center"/>
              <w:rPr>
                <w:rFonts w:ascii="Times New Roman" w:hAnsi="Times New Roman" w:cs="Times New Roman"/>
                <w:sz w:val="22"/>
              </w:rPr>
            </w:pPr>
            <w:r>
              <w:rPr>
                <w:rFonts w:ascii="Times New Roman" w:hAnsi="Times New Roman" w:cs="Times New Roman"/>
                <w:sz w:val="22"/>
              </w:rPr>
              <w:t>3.0 ± 8.1</w:t>
            </w:r>
          </w:p>
        </w:tc>
        <w:tc>
          <w:tcPr>
            <w:tcW w:w="1559" w:type="dxa"/>
            <w:vAlign w:val="center"/>
          </w:tcPr>
          <w:p>
            <w:pPr>
              <w:jc w:val="center"/>
              <w:rPr>
                <w:rFonts w:ascii="Times New Roman" w:hAnsi="Times New Roman" w:cs="Times New Roman"/>
                <w:sz w:val="22"/>
              </w:rPr>
            </w:pPr>
            <w:r>
              <w:rPr>
                <w:rFonts w:ascii="Times New Roman" w:hAnsi="Times New Roman" w:cs="Times New Roman"/>
                <w:sz w:val="22"/>
              </w:rPr>
              <w:t>3.6 ± 9.3</w:t>
            </w:r>
          </w:p>
        </w:tc>
        <w:tc>
          <w:tcPr>
            <w:tcW w:w="1276" w:type="dxa"/>
            <w:tcMar>
              <w:top w:w="0" w:type="dxa"/>
              <w:left w:w="0" w:type="dxa"/>
              <w:bottom w:w="0" w:type="dxa"/>
              <w:right w:w="0" w:type="dxa"/>
            </w:tcMar>
            <w:vAlign w:val="center"/>
            <w:hideMark/>
          </w:tcPr>
          <w:p>
            <w:pPr>
              <w:jc w:val="center"/>
              <w:rPr>
                <w:rFonts w:ascii="Times New Roman" w:hAnsi="Times New Roman" w:cs="Times New Roman"/>
                <w:sz w:val="22"/>
              </w:rPr>
            </w:pPr>
            <w:r>
              <w:rPr>
                <w:rFonts w:ascii="Times New Roman" w:hAnsi="Times New Roman" w:cs="Times New Roman"/>
                <w:sz w:val="22"/>
              </w:rPr>
              <w:t>4.6 ± 13.9</w:t>
            </w:r>
          </w:p>
        </w:tc>
        <w:tc>
          <w:tcPr>
            <w:tcW w:w="1417" w:type="dxa"/>
            <w:vAlign w:val="center"/>
          </w:tcPr>
          <w:p>
            <w:pPr>
              <w:jc w:val="center"/>
              <w:rPr>
                <w:rFonts w:ascii="Times New Roman" w:hAnsi="Times New Roman" w:cs="Times New Roman"/>
                <w:i/>
                <w:iCs/>
                <w:sz w:val="22"/>
              </w:rPr>
            </w:pPr>
            <w:r>
              <w:rPr>
                <w:rFonts w:ascii="Times New Roman" w:hAnsi="Times New Roman" w:cs="Times New Roman"/>
                <w:sz w:val="22"/>
              </w:rPr>
              <w:t>2.5 ± 7.8</w:t>
            </w:r>
          </w:p>
        </w:tc>
        <w:tc>
          <w:tcPr>
            <w:tcW w:w="1985"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i/>
                <w:iCs/>
                <w:color w:val="0070C0"/>
                <w:sz w:val="22"/>
              </w:rPr>
              <w:t xml:space="preserve">F </w:t>
            </w:r>
            <w:r>
              <w:rPr>
                <w:rFonts w:ascii="Times New Roman" w:hAnsi="Times New Roman" w:cs="Times New Roman"/>
                <w:color w:val="0070C0"/>
                <w:sz w:val="22"/>
              </w:rPr>
              <w:t xml:space="preserve">= 0.453, </w:t>
            </w:r>
            <w:r>
              <w:rPr>
                <w:rFonts w:ascii="Times New Roman" w:hAnsi="Times New Roman" w:cs="Times New Roman"/>
                <w:i/>
                <w:iCs/>
                <w:color w:val="0070C0"/>
                <w:sz w:val="22"/>
              </w:rPr>
              <w:t>P</w:t>
            </w:r>
            <w:r>
              <w:rPr>
                <w:rFonts w:ascii="Times New Roman" w:hAnsi="Times New Roman" w:cs="Times New Roman"/>
                <w:i/>
                <w:color w:val="0070C0"/>
                <w:sz w:val="22"/>
              </w:rPr>
              <w:t xml:space="preserve"> </w:t>
            </w:r>
            <w:r>
              <w:rPr>
                <w:rFonts w:ascii="Times New Roman" w:hAnsi="Times New Roman" w:cs="Times New Roman"/>
                <w:color w:val="0070C0"/>
                <w:sz w:val="22"/>
              </w:rPr>
              <w:t>= 0.716</w:t>
            </w:r>
          </w:p>
        </w:tc>
      </w:tr>
      <w:tr>
        <w:trPr>
          <w:trHeight w:val="321" w:hRule="atLeast"/>
        </w:trPr>
        <w:tc>
          <w:tcPr>
            <w:tcW w:w="2552" w:type="dxa"/>
            <w:gridSpan w:val="2"/>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Total Arousal Index (N/h)</w:t>
            </w:r>
          </w:p>
        </w:tc>
        <w:tc>
          <w:tcPr>
            <w:tcW w:w="1276" w:type="dxa"/>
            <w:tcMar>
              <w:top w:w="0" w:type="dxa"/>
              <w:left w:w="0" w:type="dxa"/>
              <w:bottom w:w="0" w:type="dxa"/>
              <w:right w:w="0" w:type="dxa"/>
            </w:tcMar>
            <w:vAlign w:val="center"/>
            <w:hideMark/>
          </w:tcPr>
          <w:p>
            <w:pPr>
              <w:jc w:val="center"/>
              <w:rPr>
                <w:rFonts w:ascii="Times New Roman" w:hAnsi="Times New Roman" w:cs="Times New Roman"/>
                <w:sz w:val="22"/>
              </w:rPr>
            </w:pPr>
            <w:r>
              <w:rPr>
                <w:rFonts w:ascii="Times New Roman" w:hAnsi="Times New Roman" w:cs="Times New Roman"/>
                <w:sz w:val="22"/>
              </w:rPr>
              <w:t>40.1 ± 20.7</w:t>
            </w:r>
          </w:p>
        </w:tc>
        <w:tc>
          <w:tcPr>
            <w:tcW w:w="1559" w:type="dxa"/>
            <w:vAlign w:val="center"/>
          </w:tcPr>
          <w:p>
            <w:pPr>
              <w:jc w:val="center"/>
              <w:rPr>
                <w:rFonts w:ascii="Times New Roman" w:hAnsi="Times New Roman" w:cs="Times New Roman"/>
                <w:sz w:val="22"/>
              </w:rPr>
            </w:pPr>
            <w:r>
              <w:rPr>
                <w:rFonts w:ascii="Times New Roman" w:hAnsi="Times New Roman" w:cs="Times New Roman"/>
                <w:sz w:val="22"/>
              </w:rPr>
              <w:t>43.6 ± 21.0</w:t>
            </w:r>
          </w:p>
        </w:tc>
        <w:tc>
          <w:tcPr>
            <w:tcW w:w="1276" w:type="dxa"/>
            <w:tcMar>
              <w:top w:w="0" w:type="dxa"/>
              <w:left w:w="0" w:type="dxa"/>
              <w:bottom w:w="0" w:type="dxa"/>
              <w:right w:w="0" w:type="dxa"/>
            </w:tcMar>
            <w:vAlign w:val="center"/>
            <w:hideMark/>
          </w:tcPr>
          <w:p>
            <w:pPr>
              <w:jc w:val="center"/>
              <w:rPr>
                <w:rFonts w:ascii="Times New Roman" w:hAnsi="Times New Roman" w:cs="Times New Roman"/>
                <w:sz w:val="22"/>
              </w:rPr>
            </w:pPr>
            <w:r>
              <w:rPr>
                <w:rFonts w:ascii="Times New Roman" w:hAnsi="Times New Roman" w:cs="Times New Roman"/>
                <w:sz w:val="22"/>
              </w:rPr>
              <w:t>34.9 ± 20.9</w:t>
            </w:r>
          </w:p>
        </w:tc>
        <w:tc>
          <w:tcPr>
            <w:tcW w:w="1417" w:type="dxa"/>
            <w:vAlign w:val="center"/>
          </w:tcPr>
          <w:p>
            <w:pPr>
              <w:jc w:val="center"/>
              <w:rPr>
                <w:rFonts w:ascii="Times New Roman" w:hAnsi="Times New Roman" w:cs="Times New Roman"/>
                <w:i/>
                <w:iCs/>
                <w:sz w:val="22"/>
              </w:rPr>
            </w:pPr>
            <w:r>
              <w:rPr>
                <w:rFonts w:ascii="Times New Roman" w:hAnsi="Times New Roman" w:cs="Times New Roman"/>
                <w:sz w:val="22"/>
              </w:rPr>
              <w:t>41.3 ± 22.5</w:t>
            </w:r>
          </w:p>
        </w:tc>
        <w:tc>
          <w:tcPr>
            <w:tcW w:w="1985"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i/>
                <w:iCs/>
                <w:color w:val="0070C0"/>
                <w:sz w:val="22"/>
              </w:rPr>
              <w:t xml:space="preserve">F </w:t>
            </w:r>
            <w:r>
              <w:rPr>
                <w:rFonts w:ascii="Times New Roman" w:hAnsi="Times New Roman" w:cs="Times New Roman"/>
                <w:color w:val="0070C0"/>
                <w:sz w:val="22"/>
              </w:rPr>
              <w:t xml:space="preserve">= 1.236, </w:t>
            </w:r>
            <w:r>
              <w:rPr>
                <w:rFonts w:ascii="Times New Roman" w:hAnsi="Times New Roman" w:cs="Times New Roman"/>
                <w:i/>
                <w:iCs/>
                <w:color w:val="0070C0"/>
                <w:sz w:val="22"/>
              </w:rPr>
              <w:t>P</w:t>
            </w:r>
            <w:r>
              <w:rPr>
                <w:rFonts w:ascii="Times New Roman" w:hAnsi="Times New Roman" w:cs="Times New Roman"/>
                <w:i/>
                <w:color w:val="0070C0"/>
                <w:sz w:val="22"/>
              </w:rPr>
              <w:t xml:space="preserve"> </w:t>
            </w:r>
            <w:r>
              <w:rPr>
                <w:rFonts w:ascii="Times New Roman" w:hAnsi="Times New Roman" w:cs="Times New Roman"/>
                <w:color w:val="0070C0"/>
                <w:sz w:val="22"/>
              </w:rPr>
              <w:t>= 0.298</w:t>
            </w:r>
          </w:p>
        </w:tc>
      </w:tr>
      <w:tr>
        <w:trPr>
          <w:trHeight w:val="321" w:hRule="atLeast"/>
        </w:trPr>
        <w:tc>
          <w:tcPr>
            <w:tcW w:w="2552" w:type="dxa"/>
            <w:gridSpan w:val="2"/>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 xml:space="preserve">Loudness of snoring </w:t>
            </w:r>
            <w:r>
              <w:rPr>
                <w:rFonts w:ascii="Times New Roman" w:hAnsi="Times New Roman" w:cs="Times New Roman"/>
                <w:sz w:val="22"/>
              </w:rPr>
              <w:t>sound</w:t>
            </w:r>
            <w:r>
              <w:rPr>
                <w:rFonts w:ascii="Times New Roman" w:hAnsi="Times New Roman" w:cs="Times New Roman"/>
                <w:sz w:val="28"/>
                <w:vertAlign w:val="superscript"/>
              </w:rPr>
              <w:t>b</w:t>
            </w:r>
          </w:p>
        </w:tc>
        <w:tc>
          <w:tcPr>
            <w:tcW w:w="1276" w:type="dxa"/>
            <w:tcMar>
              <w:top w:w="0" w:type="dxa"/>
              <w:left w:w="0" w:type="dxa"/>
              <w:bottom w:w="0" w:type="dxa"/>
              <w:right w:w="0" w:type="dxa"/>
            </w:tcMar>
            <w:vAlign w:val="center"/>
            <w:hideMark/>
          </w:tcPr>
          <w:p>
            <w:pPr>
              <w:jc w:val="center"/>
              <w:rPr>
                <w:rFonts w:ascii="Times New Roman" w:hAnsi="Times New Roman" w:cs="Times New Roman"/>
                <w:sz w:val="22"/>
              </w:rPr>
            </w:pPr>
            <w:r>
              <w:rPr>
                <w:rFonts w:ascii="Times New Roman" w:hAnsi="Times New Roman" w:cs="Times New Roman"/>
                <w:sz w:val="22"/>
              </w:rPr>
              <w:t>1.8 ± 0.4</w:t>
            </w:r>
          </w:p>
        </w:tc>
        <w:tc>
          <w:tcPr>
            <w:tcW w:w="1559" w:type="dxa"/>
            <w:vAlign w:val="center"/>
          </w:tcPr>
          <w:p>
            <w:pPr>
              <w:jc w:val="center"/>
              <w:rPr>
                <w:rFonts w:ascii="Times New Roman" w:hAnsi="Times New Roman" w:cs="Times New Roman"/>
                <w:sz w:val="22"/>
              </w:rPr>
            </w:pPr>
            <w:r>
              <w:rPr>
                <w:rFonts w:ascii="Times New Roman" w:hAnsi="Times New Roman" w:cs="Times New Roman"/>
                <w:sz w:val="22"/>
              </w:rPr>
              <w:t>1.7 ± 0.5</w:t>
            </w:r>
          </w:p>
        </w:tc>
        <w:tc>
          <w:tcPr>
            <w:tcW w:w="1276" w:type="dxa"/>
            <w:tcMar>
              <w:top w:w="0" w:type="dxa"/>
              <w:left w:w="0" w:type="dxa"/>
              <w:bottom w:w="0" w:type="dxa"/>
              <w:right w:w="0" w:type="dxa"/>
            </w:tcMar>
            <w:vAlign w:val="center"/>
            <w:hideMark/>
          </w:tcPr>
          <w:p>
            <w:pPr>
              <w:jc w:val="center"/>
              <w:rPr>
                <w:rFonts w:ascii="Times New Roman" w:hAnsi="Times New Roman" w:cs="Times New Roman"/>
                <w:sz w:val="22"/>
              </w:rPr>
            </w:pPr>
            <w:r>
              <w:rPr>
                <w:rFonts w:ascii="Times New Roman" w:hAnsi="Times New Roman" w:cs="Times New Roman"/>
                <w:sz w:val="22"/>
              </w:rPr>
              <w:t>1.8 ± 0.6</w:t>
            </w:r>
          </w:p>
        </w:tc>
        <w:tc>
          <w:tcPr>
            <w:tcW w:w="1417" w:type="dxa"/>
            <w:vAlign w:val="center"/>
          </w:tcPr>
          <w:p>
            <w:pPr>
              <w:jc w:val="center"/>
              <w:rPr>
                <w:rFonts w:ascii="Times New Roman" w:hAnsi="Times New Roman" w:cs="Times New Roman"/>
                <w:i/>
                <w:iCs/>
                <w:sz w:val="22"/>
              </w:rPr>
            </w:pPr>
            <w:r>
              <w:rPr>
                <w:rFonts w:ascii="Times New Roman" w:hAnsi="Times New Roman" w:cs="Times New Roman"/>
                <w:sz w:val="22"/>
              </w:rPr>
              <w:t>1.9 ± 0.4</w:t>
            </w:r>
          </w:p>
        </w:tc>
        <w:tc>
          <w:tcPr>
            <w:tcW w:w="1985"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i/>
                <w:iCs/>
                <w:color w:val="0070C0"/>
                <w:sz w:val="22"/>
              </w:rPr>
              <w:t xml:space="preserve">F </w:t>
            </w:r>
            <w:r>
              <w:rPr>
                <w:rFonts w:ascii="Times New Roman" w:hAnsi="Times New Roman" w:cs="Times New Roman"/>
                <w:color w:val="0070C0"/>
                <w:sz w:val="22"/>
              </w:rPr>
              <w:t>= 1.613,</w:t>
            </w:r>
            <w:r>
              <w:rPr>
                <w:rFonts w:ascii="Times New Roman" w:hAnsi="Times New Roman" w:cs="Times New Roman"/>
                <w:i/>
                <w:iCs/>
                <w:color w:val="0070C0"/>
                <w:sz w:val="22"/>
              </w:rPr>
              <w:t xml:space="preserve"> P</w:t>
            </w:r>
            <w:r>
              <w:rPr>
                <w:rFonts w:ascii="Times New Roman" w:hAnsi="Times New Roman" w:cs="Times New Roman"/>
                <w:color w:val="0070C0"/>
                <w:sz w:val="22"/>
              </w:rPr>
              <w:t>= 0.188</w:t>
            </w:r>
          </w:p>
        </w:tc>
      </w:tr>
      <w:tr>
        <w:trPr>
          <w:trHeight w:val="321" w:hRule="atLeast"/>
        </w:trPr>
        <w:tc>
          <w:tcPr>
            <w:tcW w:w="2552" w:type="dxa"/>
            <w:gridSpan w:val="2"/>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Sleep architecture</w:t>
            </w:r>
          </w:p>
        </w:tc>
        <w:tc>
          <w:tcPr>
            <w:tcW w:w="1276" w:type="dxa"/>
            <w:tcMar>
              <w:top w:w="0" w:type="dxa"/>
              <w:left w:w="0" w:type="dxa"/>
              <w:bottom w:w="0" w:type="dxa"/>
              <w:right w:w="0" w:type="dxa"/>
            </w:tcMar>
            <w:vAlign w:val="center"/>
          </w:tcPr>
          <w:p>
            <w:pPr>
              <w:jc w:val="center"/>
              <w:rPr>
                <w:rFonts w:ascii="Times New Roman" w:hAnsi="Times New Roman" w:cs="Times New Roman"/>
                <w:sz w:val="22"/>
              </w:rPr>
            </w:pPr>
          </w:p>
        </w:tc>
        <w:tc>
          <w:tcPr>
            <w:tcW w:w="1559" w:type="dxa"/>
            <w:vAlign w:val="center"/>
          </w:tcPr>
          <w:p>
            <w:pPr>
              <w:jc w:val="center"/>
              <w:rPr>
                <w:rFonts w:ascii="Times New Roman" w:hAnsi="Times New Roman" w:cs="Times New Roman"/>
                <w:sz w:val="22"/>
              </w:rPr>
            </w:pPr>
          </w:p>
        </w:tc>
        <w:tc>
          <w:tcPr>
            <w:tcW w:w="1276" w:type="dxa"/>
            <w:tcMar>
              <w:top w:w="0" w:type="dxa"/>
              <w:left w:w="0" w:type="dxa"/>
              <w:bottom w:w="0" w:type="dxa"/>
              <w:right w:w="0" w:type="dxa"/>
            </w:tcMar>
            <w:vAlign w:val="center"/>
          </w:tcPr>
          <w:p>
            <w:pPr>
              <w:jc w:val="center"/>
              <w:rPr>
                <w:rFonts w:ascii="Times New Roman" w:hAnsi="Times New Roman" w:cs="Times New Roman"/>
                <w:sz w:val="22"/>
              </w:rPr>
            </w:pPr>
          </w:p>
        </w:tc>
        <w:tc>
          <w:tcPr>
            <w:tcW w:w="1417" w:type="dxa"/>
            <w:vAlign w:val="center"/>
          </w:tcPr>
          <w:p>
            <w:pPr>
              <w:jc w:val="center"/>
              <w:rPr>
                <w:rFonts w:ascii="Times New Roman" w:hAnsi="Times New Roman" w:cs="Times New Roman"/>
                <w:sz w:val="22"/>
              </w:rPr>
            </w:pPr>
          </w:p>
        </w:tc>
        <w:tc>
          <w:tcPr>
            <w:tcW w:w="1985" w:type="dxa"/>
            <w:tcMar>
              <w:top w:w="0" w:type="dxa"/>
              <w:left w:w="0" w:type="dxa"/>
              <w:bottom w:w="0" w:type="dxa"/>
              <w:right w:w="0" w:type="dxa"/>
            </w:tcMar>
            <w:vAlign w:val="center"/>
          </w:tcPr>
          <w:p>
            <w:pPr>
              <w:rPr>
                <w:rFonts w:ascii="Times New Roman" w:hAnsi="Times New Roman" w:cs="Times New Roman"/>
                <w:sz w:val="22"/>
              </w:rPr>
            </w:pPr>
          </w:p>
        </w:tc>
      </w:tr>
      <w:tr>
        <w:trPr>
          <w:trHeight w:val="291" w:hRule="atLeast"/>
        </w:trPr>
        <w:tc>
          <w:tcPr>
            <w:tcW w:w="426" w:type="dxa"/>
            <w:tcMar>
              <w:top w:w="0" w:type="dxa"/>
              <w:left w:w="0" w:type="dxa"/>
              <w:bottom w:w="0" w:type="dxa"/>
              <w:right w:w="0" w:type="dxa"/>
            </w:tcMar>
            <w:vAlign w:val="center"/>
            <w:hideMark/>
          </w:tcPr>
          <w:p>
            <w:pPr>
              <w:rPr>
                <w:rFonts w:ascii="Times New Roman" w:hAnsi="Times New Roman" w:cs="Times New Roman"/>
                <w:sz w:val="22"/>
              </w:rPr>
            </w:pPr>
          </w:p>
        </w:tc>
        <w:tc>
          <w:tcPr>
            <w:tcW w:w="2126"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Stage N1 (%)</w:t>
            </w:r>
          </w:p>
        </w:tc>
        <w:tc>
          <w:tcPr>
            <w:tcW w:w="1276" w:type="dxa"/>
            <w:tcMar>
              <w:top w:w="0" w:type="dxa"/>
              <w:left w:w="0" w:type="dxa"/>
              <w:bottom w:w="0" w:type="dxa"/>
              <w:right w:w="0" w:type="dxa"/>
            </w:tcMar>
            <w:vAlign w:val="center"/>
            <w:hideMark/>
          </w:tcPr>
          <w:p>
            <w:pPr>
              <w:jc w:val="center"/>
              <w:rPr>
                <w:rFonts w:ascii="Times New Roman" w:hAnsi="Times New Roman" w:cs="Times New Roman"/>
                <w:sz w:val="22"/>
              </w:rPr>
            </w:pPr>
            <w:r>
              <w:rPr>
                <w:rFonts w:ascii="Times New Roman" w:hAnsi="Times New Roman" w:cs="Times New Roman"/>
                <w:sz w:val="22"/>
              </w:rPr>
              <w:t>28.0 ± 14.3</w:t>
            </w:r>
          </w:p>
        </w:tc>
        <w:tc>
          <w:tcPr>
            <w:tcW w:w="1559" w:type="dxa"/>
            <w:vAlign w:val="center"/>
          </w:tcPr>
          <w:p>
            <w:pPr>
              <w:jc w:val="center"/>
              <w:rPr>
                <w:rFonts w:ascii="Times New Roman" w:hAnsi="Times New Roman" w:cs="Times New Roman"/>
                <w:sz w:val="22"/>
              </w:rPr>
            </w:pPr>
            <w:r>
              <w:rPr>
                <w:rFonts w:ascii="Times New Roman" w:hAnsi="Times New Roman" w:cs="Times New Roman"/>
                <w:sz w:val="22"/>
              </w:rPr>
              <w:t>36.5 ± 18.3</w:t>
            </w:r>
          </w:p>
        </w:tc>
        <w:tc>
          <w:tcPr>
            <w:tcW w:w="1276" w:type="dxa"/>
            <w:tcMar>
              <w:top w:w="0" w:type="dxa"/>
              <w:left w:w="0" w:type="dxa"/>
              <w:bottom w:w="0" w:type="dxa"/>
              <w:right w:w="0" w:type="dxa"/>
            </w:tcMar>
            <w:vAlign w:val="center"/>
            <w:hideMark/>
          </w:tcPr>
          <w:p>
            <w:pPr>
              <w:jc w:val="center"/>
              <w:rPr>
                <w:rFonts w:ascii="Times New Roman" w:hAnsi="Times New Roman" w:cs="Times New Roman"/>
                <w:sz w:val="22"/>
              </w:rPr>
            </w:pPr>
            <w:r>
              <w:rPr>
                <w:rFonts w:ascii="Times New Roman" w:hAnsi="Times New Roman" w:cs="Times New Roman"/>
                <w:sz w:val="22"/>
              </w:rPr>
              <w:t>25.2 ± 16.1</w:t>
            </w:r>
          </w:p>
        </w:tc>
        <w:tc>
          <w:tcPr>
            <w:tcW w:w="1417" w:type="dxa"/>
            <w:vAlign w:val="center"/>
          </w:tcPr>
          <w:p>
            <w:pPr>
              <w:jc w:val="center"/>
              <w:rPr>
                <w:rFonts w:ascii="Times New Roman" w:hAnsi="Times New Roman" w:cs="Times New Roman"/>
                <w:i/>
                <w:iCs/>
                <w:sz w:val="22"/>
              </w:rPr>
            </w:pPr>
            <w:r>
              <w:rPr>
                <w:rFonts w:ascii="Times New Roman" w:hAnsi="Times New Roman" w:cs="Times New Roman"/>
                <w:sz w:val="22"/>
              </w:rPr>
              <w:t>27.6 ± 13.2</w:t>
            </w:r>
          </w:p>
        </w:tc>
        <w:tc>
          <w:tcPr>
            <w:tcW w:w="1985"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i/>
                <w:iCs/>
                <w:color w:val="0070C0"/>
                <w:sz w:val="22"/>
              </w:rPr>
              <w:t xml:space="preserve">F </w:t>
            </w:r>
            <w:r>
              <w:rPr>
                <w:rFonts w:ascii="Times New Roman" w:hAnsi="Times New Roman" w:cs="Times New Roman"/>
                <w:color w:val="0070C0"/>
                <w:sz w:val="22"/>
              </w:rPr>
              <w:t xml:space="preserve">= 3.678, </w:t>
            </w:r>
            <w:r>
              <w:rPr>
                <w:rFonts w:ascii="Times New Roman" w:hAnsi="Times New Roman" w:cs="Times New Roman"/>
                <w:i/>
                <w:iCs/>
                <w:color w:val="0070C0"/>
                <w:sz w:val="22"/>
              </w:rPr>
              <w:t>P</w:t>
            </w:r>
            <w:r>
              <w:rPr>
                <w:rFonts w:ascii="Times New Roman" w:hAnsi="Times New Roman" w:cs="Times New Roman"/>
                <w:i/>
                <w:color w:val="0070C0"/>
                <w:sz w:val="22"/>
              </w:rPr>
              <w:t xml:space="preserve"> </w:t>
            </w:r>
            <w:r>
              <w:rPr>
                <w:rFonts w:ascii="Times New Roman" w:hAnsi="Times New Roman" w:cs="Times New Roman"/>
                <w:color w:val="0070C0"/>
                <w:sz w:val="22"/>
              </w:rPr>
              <w:t>= 0.013</w:t>
            </w:r>
            <w:r>
              <w:rPr>
                <w:rFonts w:ascii="Times New Roman" w:hAnsi="Times New Roman" w:cs="Times New Roman"/>
                <w:sz w:val="22"/>
              </w:rPr>
              <w:t>*</w:t>
            </w:r>
          </w:p>
        </w:tc>
      </w:tr>
      <w:tr>
        <w:trPr>
          <w:trHeight w:val="291" w:hRule="atLeast"/>
        </w:trPr>
        <w:tc>
          <w:tcPr>
            <w:tcW w:w="426" w:type="dxa"/>
            <w:tcMar>
              <w:top w:w="0" w:type="dxa"/>
              <w:left w:w="0" w:type="dxa"/>
              <w:bottom w:w="0" w:type="dxa"/>
              <w:right w:w="0" w:type="dxa"/>
            </w:tcMar>
            <w:vAlign w:val="center"/>
          </w:tcPr>
          <w:p>
            <w:pPr>
              <w:rPr>
                <w:rFonts w:ascii="Times New Roman" w:hAnsi="Times New Roman" w:cs="Times New Roman"/>
                <w:sz w:val="22"/>
              </w:rPr>
            </w:pPr>
          </w:p>
        </w:tc>
        <w:tc>
          <w:tcPr>
            <w:tcW w:w="2126"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Stage N2 (%)</w:t>
            </w:r>
          </w:p>
        </w:tc>
        <w:tc>
          <w:tcPr>
            <w:tcW w:w="1276" w:type="dxa"/>
            <w:tcMar>
              <w:top w:w="0" w:type="dxa"/>
              <w:left w:w="0" w:type="dxa"/>
              <w:bottom w:w="0" w:type="dxa"/>
              <w:right w:w="0" w:type="dxa"/>
            </w:tcMar>
            <w:vAlign w:val="center"/>
            <w:hideMark/>
          </w:tcPr>
          <w:p>
            <w:pPr>
              <w:jc w:val="center"/>
              <w:rPr>
                <w:rFonts w:ascii="Times New Roman" w:hAnsi="Times New Roman" w:cs="Times New Roman"/>
                <w:sz w:val="22"/>
              </w:rPr>
            </w:pPr>
            <w:r>
              <w:rPr>
                <w:rFonts w:ascii="Times New Roman" w:hAnsi="Times New Roman" w:cs="Times New Roman"/>
                <w:sz w:val="22"/>
              </w:rPr>
              <w:t>47.0 ± 15.4</w:t>
            </w:r>
          </w:p>
        </w:tc>
        <w:tc>
          <w:tcPr>
            <w:tcW w:w="1559" w:type="dxa"/>
            <w:vAlign w:val="center"/>
          </w:tcPr>
          <w:p>
            <w:pPr>
              <w:jc w:val="center"/>
              <w:rPr>
                <w:rFonts w:ascii="Times New Roman" w:hAnsi="Times New Roman" w:cs="Times New Roman"/>
                <w:sz w:val="22"/>
              </w:rPr>
            </w:pPr>
            <w:r>
              <w:rPr>
                <w:rFonts w:ascii="Times New Roman" w:hAnsi="Times New Roman" w:cs="Times New Roman"/>
                <w:sz w:val="22"/>
              </w:rPr>
              <w:t>46.9 ± 17.3</w:t>
            </w:r>
          </w:p>
        </w:tc>
        <w:tc>
          <w:tcPr>
            <w:tcW w:w="1276" w:type="dxa"/>
            <w:tcMar>
              <w:top w:w="0" w:type="dxa"/>
              <w:left w:w="0" w:type="dxa"/>
              <w:bottom w:w="0" w:type="dxa"/>
              <w:right w:w="0" w:type="dxa"/>
            </w:tcMar>
            <w:vAlign w:val="center"/>
            <w:hideMark/>
          </w:tcPr>
          <w:p>
            <w:pPr>
              <w:jc w:val="center"/>
              <w:rPr>
                <w:rFonts w:ascii="Times New Roman" w:hAnsi="Times New Roman" w:cs="Times New Roman"/>
                <w:sz w:val="22"/>
              </w:rPr>
            </w:pPr>
            <w:r>
              <w:rPr>
                <w:rFonts w:ascii="Times New Roman" w:hAnsi="Times New Roman" w:cs="Times New Roman"/>
                <w:sz w:val="22"/>
              </w:rPr>
              <w:t>48.6 ± 13.4</w:t>
            </w:r>
          </w:p>
        </w:tc>
        <w:tc>
          <w:tcPr>
            <w:tcW w:w="1417" w:type="dxa"/>
            <w:vAlign w:val="center"/>
          </w:tcPr>
          <w:p>
            <w:pPr>
              <w:jc w:val="center"/>
              <w:rPr>
                <w:rFonts w:ascii="Times New Roman" w:hAnsi="Times New Roman" w:cs="Times New Roman"/>
                <w:i/>
                <w:iCs/>
                <w:sz w:val="22"/>
              </w:rPr>
            </w:pPr>
            <w:r>
              <w:rPr>
                <w:rFonts w:ascii="Times New Roman" w:hAnsi="Times New Roman" w:cs="Times New Roman"/>
                <w:sz w:val="22"/>
              </w:rPr>
              <w:t>42.7 ± 15.5</w:t>
            </w:r>
          </w:p>
        </w:tc>
        <w:tc>
          <w:tcPr>
            <w:tcW w:w="1985"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i/>
                <w:iCs/>
                <w:color w:val="0070C0"/>
                <w:sz w:val="22"/>
              </w:rPr>
              <w:t xml:space="preserve">F </w:t>
            </w:r>
            <w:r>
              <w:rPr>
                <w:rFonts w:ascii="Times New Roman" w:hAnsi="Times New Roman" w:cs="Times New Roman"/>
                <w:color w:val="0070C0"/>
                <w:sz w:val="22"/>
              </w:rPr>
              <w:t>= 1.500,</w:t>
            </w:r>
            <w:r>
              <w:rPr>
                <w:rFonts w:ascii="Times New Roman" w:hAnsi="Times New Roman" w:cs="Times New Roman"/>
                <w:i/>
                <w:iCs/>
                <w:color w:val="0070C0"/>
                <w:sz w:val="22"/>
              </w:rPr>
              <w:t xml:space="preserve"> P</w:t>
            </w:r>
            <w:r>
              <w:rPr>
                <w:rFonts w:ascii="Times New Roman" w:hAnsi="Times New Roman" w:cs="Times New Roman"/>
                <w:color w:val="0070C0"/>
                <w:sz w:val="22"/>
              </w:rPr>
              <w:t>= 0.216</w:t>
            </w:r>
          </w:p>
        </w:tc>
      </w:tr>
      <w:tr>
        <w:trPr>
          <w:trHeight w:val="291" w:hRule="atLeast"/>
        </w:trPr>
        <w:tc>
          <w:tcPr>
            <w:tcW w:w="426" w:type="dxa"/>
            <w:tcMar>
              <w:top w:w="0" w:type="dxa"/>
              <w:left w:w="0" w:type="dxa"/>
              <w:bottom w:w="0" w:type="dxa"/>
              <w:right w:w="0" w:type="dxa"/>
            </w:tcMar>
            <w:vAlign w:val="center"/>
            <w:hideMark/>
          </w:tcPr>
          <w:p>
            <w:pPr>
              <w:rPr>
                <w:rFonts w:ascii="Times New Roman" w:hAnsi="Times New Roman" w:cs="Times New Roman"/>
                <w:sz w:val="22"/>
              </w:rPr>
            </w:pPr>
          </w:p>
        </w:tc>
        <w:tc>
          <w:tcPr>
            <w:tcW w:w="2126"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Stage N3 (%)</w:t>
            </w:r>
          </w:p>
        </w:tc>
        <w:tc>
          <w:tcPr>
            <w:tcW w:w="1276" w:type="dxa"/>
            <w:tcMar>
              <w:top w:w="0" w:type="dxa"/>
              <w:left w:w="0" w:type="dxa"/>
              <w:bottom w:w="0" w:type="dxa"/>
              <w:right w:w="0" w:type="dxa"/>
            </w:tcMar>
            <w:vAlign w:val="center"/>
            <w:hideMark/>
          </w:tcPr>
          <w:p>
            <w:pPr>
              <w:jc w:val="center"/>
              <w:rPr>
                <w:rFonts w:ascii="Times New Roman" w:hAnsi="Times New Roman" w:cs="Times New Roman"/>
                <w:sz w:val="22"/>
              </w:rPr>
            </w:pPr>
            <w:r>
              <w:rPr>
                <w:rFonts w:ascii="Times New Roman" w:hAnsi="Times New Roman" w:cs="Times New Roman"/>
                <w:sz w:val="22"/>
              </w:rPr>
              <w:t>3.5 ± 8.3</w:t>
            </w:r>
          </w:p>
        </w:tc>
        <w:tc>
          <w:tcPr>
            <w:tcW w:w="1559" w:type="dxa"/>
            <w:vAlign w:val="center"/>
          </w:tcPr>
          <w:p>
            <w:pPr>
              <w:jc w:val="center"/>
              <w:rPr>
                <w:rFonts w:ascii="Times New Roman" w:hAnsi="Times New Roman" w:cs="Times New Roman"/>
                <w:sz w:val="22"/>
              </w:rPr>
            </w:pPr>
            <w:r>
              <w:rPr>
                <w:rFonts w:ascii="Times New Roman" w:hAnsi="Times New Roman" w:cs="Times New Roman"/>
                <w:sz w:val="22"/>
              </w:rPr>
              <w:t>2.0 ± 4.1</w:t>
            </w:r>
          </w:p>
        </w:tc>
        <w:tc>
          <w:tcPr>
            <w:tcW w:w="1276" w:type="dxa"/>
            <w:tcMar>
              <w:top w:w="0" w:type="dxa"/>
              <w:left w:w="0" w:type="dxa"/>
              <w:bottom w:w="0" w:type="dxa"/>
              <w:right w:w="0" w:type="dxa"/>
            </w:tcMar>
            <w:vAlign w:val="center"/>
            <w:hideMark/>
          </w:tcPr>
          <w:p>
            <w:pPr>
              <w:jc w:val="center"/>
              <w:rPr>
                <w:rFonts w:ascii="Times New Roman" w:hAnsi="Times New Roman" w:cs="Times New Roman"/>
                <w:sz w:val="22"/>
              </w:rPr>
            </w:pPr>
            <w:r>
              <w:rPr>
                <w:rFonts w:ascii="Times New Roman" w:hAnsi="Times New Roman" w:cs="Times New Roman"/>
                <w:sz w:val="22"/>
              </w:rPr>
              <w:t>3.4 ± 4.4</w:t>
            </w:r>
          </w:p>
        </w:tc>
        <w:tc>
          <w:tcPr>
            <w:tcW w:w="1417" w:type="dxa"/>
            <w:vAlign w:val="center"/>
          </w:tcPr>
          <w:p>
            <w:pPr>
              <w:jc w:val="center"/>
              <w:rPr>
                <w:rFonts w:ascii="Times New Roman" w:hAnsi="Times New Roman" w:cs="Times New Roman"/>
                <w:i/>
                <w:iCs/>
                <w:sz w:val="22"/>
              </w:rPr>
            </w:pPr>
            <w:r>
              <w:rPr>
                <w:rFonts w:ascii="Times New Roman" w:hAnsi="Times New Roman" w:cs="Times New Roman"/>
                <w:sz w:val="22"/>
              </w:rPr>
              <w:t>1.1 ± 2.4</w:t>
            </w:r>
          </w:p>
        </w:tc>
        <w:tc>
          <w:tcPr>
            <w:tcW w:w="1985" w:type="dxa"/>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i/>
                <w:iCs/>
                <w:color w:val="0070C0"/>
                <w:sz w:val="22"/>
              </w:rPr>
              <w:t xml:space="preserve">F </w:t>
            </w:r>
            <w:r>
              <w:rPr>
                <w:rFonts w:ascii="Times New Roman" w:hAnsi="Times New Roman" w:cs="Times New Roman"/>
                <w:color w:val="0070C0"/>
                <w:sz w:val="22"/>
              </w:rPr>
              <w:t xml:space="preserve">= 2.695, </w:t>
            </w:r>
            <w:r>
              <w:rPr>
                <w:rFonts w:ascii="Times New Roman" w:hAnsi="Times New Roman" w:cs="Times New Roman"/>
                <w:i/>
                <w:iCs/>
                <w:color w:val="0070C0"/>
                <w:sz w:val="22"/>
              </w:rPr>
              <w:t>P</w:t>
            </w:r>
            <w:r>
              <w:rPr>
                <w:rFonts w:ascii="Times New Roman" w:hAnsi="Times New Roman" w:cs="Times New Roman"/>
                <w:i/>
                <w:color w:val="0070C0"/>
                <w:sz w:val="22"/>
              </w:rPr>
              <w:t xml:space="preserve"> </w:t>
            </w:r>
            <w:r>
              <w:rPr>
                <w:rFonts w:ascii="Times New Roman" w:hAnsi="Times New Roman" w:cs="Times New Roman"/>
                <w:color w:val="0070C0"/>
                <w:sz w:val="22"/>
              </w:rPr>
              <w:t>= 0.047</w:t>
            </w:r>
            <w:r>
              <w:rPr>
                <w:rFonts w:ascii="Times New Roman" w:hAnsi="Times New Roman" w:cs="Times New Roman"/>
                <w:sz w:val="22"/>
              </w:rPr>
              <w:t>*</w:t>
            </w:r>
          </w:p>
        </w:tc>
      </w:tr>
      <w:tr>
        <w:trPr>
          <w:trHeight w:val="291" w:hRule="atLeast"/>
        </w:trPr>
        <w:tc>
          <w:tcPr>
            <w:tcW w:w="426" w:type="dxa"/>
            <w:tcBorders>
              <w:bottom w:val="single" w:sz="4" w:space="0" w:color="auto"/>
            </w:tcBorders>
            <w:tcMar>
              <w:top w:w="0" w:type="dxa"/>
              <w:left w:w="0" w:type="dxa"/>
              <w:bottom w:w="0" w:type="dxa"/>
              <w:right w:w="0" w:type="dxa"/>
            </w:tcMar>
            <w:vAlign w:val="center"/>
            <w:hideMark/>
          </w:tcPr>
          <w:p>
            <w:pPr>
              <w:rPr>
                <w:rFonts w:ascii="Times New Roman" w:hAnsi="Times New Roman" w:cs="Times New Roman"/>
                <w:sz w:val="22"/>
              </w:rPr>
            </w:pPr>
          </w:p>
        </w:tc>
        <w:tc>
          <w:tcPr>
            <w:tcW w:w="2126" w:type="dxa"/>
            <w:tcBorders>
              <w:bottom w:val="single" w:sz="4" w:space="0" w:color="auto"/>
            </w:tcBorders>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sz w:val="22"/>
              </w:rPr>
              <w:t>Stage R (%)</w:t>
            </w:r>
          </w:p>
        </w:tc>
        <w:tc>
          <w:tcPr>
            <w:tcW w:w="1276" w:type="dxa"/>
            <w:tcBorders>
              <w:bottom w:val="single" w:sz="4" w:space="0" w:color="auto"/>
            </w:tcBorders>
            <w:tcMar>
              <w:top w:w="0" w:type="dxa"/>
              <w:left w:w="0" w:type="dxa"/>
              <w:bottom w:w="0" w:type="dxa"/>
              <w:right w:w="0" w:type="dxa"/>
            </w:tcMar>
            <w:vAlign w:val="center"/>
            <w:hideMark/>
          </w:tcPr>
          <w:p>
            <w:pPr>
              <w:jc w:val="center"/>
              <w:rPr>
                <w:rFonts w:ascii="Times New Roman" w:hAnsi="Times New Roman" w:cs="Times New Roman"/>
                <w:sz w:val="22"/>
              </w:rPr>
            </w:pPr>
            <w:r>
              <w:rPr>
                <w:rFonts w:ascii="Times New Roman" w:hAnsi="Times New Roman" w:cs="Times New Roman"/>
                <w:sz w:val="22"/>
              </w:rPr>
              <w:t>12.8 ± 6.7</w:t>
            </w:r>
          </w:p>
        </w:tc>
        <w:tc>
          <w:tcPr>
            <w:tcW w:w="1559" w:type="dxa"/>
            <w:tcBorders>
              <w:bottom w:val="single" w:sz="4" w:space="0" w:color="auto"/>
            </w:tcBorders>
            <w:vAlign w:val="center"/>
          </w:tcPr>
          <w:p>
            <w:pPr>
              <w:jc w:val="center"/>
              <w:rPr>
                <w:rFonts w:ascii="Times New Roman" w:hAnsi="Times New Roman" w:cs="Times New Roman"/>
                <w:sz w:val="22"/>
              </w:rPr>
            </w:pPr>
            <w:r>
              <w:rPr>
                <w:rFonts w:ascii="Times New Roman" w:hAnsi="Times New Roman" w:cs="Times New Roman"/>
                <w:sz w:val="22"/>
              </w:rPr>
              <w:t>13.5 ± 5.1</w:t>
            </w:r>
          </w:p>
        </w:tc>
        <w:tc>
          <w:tcPr>
            <w:tcW w:w="1276" w:type="dxa"/>
            <w:tcBorders>
              <w:bottom w:val="single" w:sz="4" w:space="0" w:color="auto"/>
            </w:tcBorders>
            <w:tcMar>
              <w:top w:w="0" w:type="dxa"/>
              <w:left w:w="0" w:type="dxa"/>
              <w:bottom w:w="0" w:type="dxa"/>
              <w:right w:w="0" w:type="dxa"/>
            </w:tcMar>
            <w:vAlign w:val="center"/>
            <w:hideMark/>
          </w:tcPr>
          <w:p>
            <w:pPr>
              <w:jc w:val="center"/>
              <w:rPr>
                <w:rFonts w:ascii="Times New Roman" w:hAnsi="Times New Roman" w:cs="Times New Roman"/>
                <w:sz w:val="22"/>
              </w:rPr>
            </w:pPr>
            <w:r>
              <w:rPr>
                <w:rFonts w:ascii="Times New Roman" w:hAnsi="Times New Roman" w:cs="Times New Roman"/>
                <w:sz w:val="22"/>
              </w:rPr>
              <w:t>12.7 ± 7.5</w:t>
            </w:r>
          </w:p>
        </w:tc>
        <w:tc>
          <w:tcPr>
            <w:tcW w:w="1417" w:type="dxa"/>
            <w:tcBorders>
              <w:bottom w:val="single" w:sz="4" w:space="0" w:color="auto"/>
            </w:tcBorders>
            <w:vAlign w:val="center"/>
          </w:tcPr>
          <w:p>
            <w:pPr>
              <w:jc w:val="center"/>
              <w:rPr>
                <w:rFonts w:ascii="Times New Roman" w:hAnsi="Times New Roman" w:cs="Times New Roman"/>
                <w:i/>
                <w:iCs/>
                <w:sz w:val="22"/>
              </w:rPr>
            </w:pPr>
            <w:r>
              <w:rPr>
                <w:rFonts w:ascii="Times New Roman" w:hAnsi="Times New Roman" w:cs="Times New Roman"/>
                <w:sz w:val="22"/>
              </w:rPr>
              <w:t>13.5 ± 5.7</w:t>
            </w:r>
          </w:p>
        </w:tc>
        <w:tc>
          <w:tcPr>
            <w:tcW w:w="1985" w:type="dxa"/>
            <w:tcBorders>
              <w:bottom w:val="single" w:sz="4" w:space="0" w:color="auto"/>
            </w:tcBorders>
            <w:tcMar>
              <w:top w:w="0" w:type="dxa"/>
              <w:left w:w="0" w:type="dxa"/>
              <w:bottom w:w="0" w:type="dxa"/>
              <w:right w:w="0" w:type="dxa"/>
            </w:tcMar>
            <w:vAlign w:val="center"/>
            <w:hideMark/>
          </w:tcPr>
          <w:p>
            <w:pPr>
              <w:rPr>
                <w:rFonts w:ascii="Times New Roman" w:hAnsi="Times New Roman" w:cs="Times New Roman"/>
                <w:sz w:val="22"/>
              </w:rPr>
            </w:pPr>
            <w:r>
              <w:rPr>
                <w:rFonts w:ascii="Times New Roman" w:hAnsi="Times New Roman" w:cs="Times New Roman"/>
                <w:i/>
                <w:iCs/>
                <w:color w:val="0070C0"/>
                <w:sz w:val="22"/>
              </w:rPr>
              <w:t xml:space="preserve">F </w:t>
            </w:r>
            <w:r>
              <w:rPr>
                <w:rFonts w:ascii="Times New Roman" w:hAnsi="Times New Roman" w:cs="Times New Roman"/>
                <w:color w:val="0070C0"/>
                <w:sz w:val="22"/>
              </w:rPr>
              <w:t xml:space="preserve">= 0.210, </w:t>
            </w:r>
            <w:r>
              <w:rPr>
                <w:rFonts w:ascii="Times New Roman" w:hAnsi="Times New Roman" w:cs="Times New Roman"/>
                <w:i/>
                <w:iCs/>
                <w:color w:val="0070C0"/>
                <w:sz w:val="22"/>
              </w:rPr>
              <w:t>P</w:t>
            </w:r>
            <w:r>
              <w:rPr>
                <w:rFonts w:ascii="Times New Roman" w:hAnsi="Times New Roman" w:cs="Times New Roman"/>
                <w:i/>
                <w:color w:val="0070C0"/>
                <w:sz w:val="22"/>
              </w:rPr>
              <w:t xml:space="preserve"> </w:t>
            </w:r>
            <w:r>
              <w:rPr>
                <w:rFonts w:ascii="Times New Roman" w:hAnsi="Times New Roman" w:cs="Times New Roman"/>
                <w:color w:val="0070C0"/>
                <w:sz w:val="22"/>
              </w:rPr>
              <w:t>= 0.890</w:t>
            </w:r>
          </w:p>
        </w:tc>
      </w:tr>
    </w:tbl>
    <w:p>
      <w:pPr>
        <w:ind w:left="110" w:hangingChars="50" w:hanging="110"/>
        <w:rPr>
          <w:rFonts w:ascii="Times New Roman" w:hAnsi="Times New Roman" w:cs="Times New Roman"/>
          <w:b/>
          <w:sz w:val="22"/>
          <w:vertAlign w:val="superscript"/>
        </w:rPr>
      </w:pPr>
      <w:r>
        <w:rPr>
          <w:rFonts w:ascii="Times New Roman" w:hAnsi="Times New Roman" w:cs="Times New Roman"/>
          <w:b/>
          <w:sz w:val="22"/>
        </w:rPr>
        <w:t>Notes:</w:t>
      </w:r>
      <w:r>
        <w:rPr>
          <w:rFonts w:ascii="Times New Roman" w:hAnsi="Times New Roman" w:cs="Times New Roman"/>
          <w:sz w:val="22"/>
        </w:rPr>
        <w:t xml:space="preserve"> Data are mean ± standard deviation values. </w:t>
      </w:r>
      <w:r>
        <w:rPr>
          <w:rFonts w:ascii="Times New Roman" w:hAnsi="Times New Roman" w:cs="Times New Roman"/>
          <w:sz w:val="28"/>
          <w:vertAlign w:val="superscript"/>
        </w:rPr>
        <w:t>a</w:t>
      </w:r>
      <w:r>
        <w:rPr>
          <w:rFonts w:ascii="Times New Roman" w:hAnsi="Times New Roman" w:cs="Times New Roman"/>
          <w:sz w:val="22"/>
        </w:rPr>
        <w:t>One</w:t>
      </w:r>
      <w:r>
        <w:rPr>
          <w:rFonts w:ascii="Times New Roman" w:hAnsi="Times New Roman" w:cs="Times New Roman"/>
          <w:sz w:val="22"/>
        </w:rPr>
        <w:t>-way ANOVA</w:t>
      </w:r>
      <w:r>
        <w:rPr>
          <w:rFonts w:ascii="Times New Roman" w:hAnsi="Times New Roman" w:cs="Times New Roman"/>
          <w:sz w:val="22"/>
        </w:rPr>
        <w:t xml:space="preserve">. </w:t>
      </w:r>
      <w:r>
        <w:rPr>
          <w:rFonts w:ascii="Times New Roman" w:hAnsi="Times New Roman" w:cs="Times New Roman"/>
          <w:sz w:val="28"/>
          <w:vertAlign w:val="superscript"/>
        </w:rPr>
        <w:t>b</w:t>
      </w:r>
      <w:r>
        <w:rPr>
          <w:rFonts w:ascii="Times New Roman" w:hAnsi="Times New Roman" w:cs="Times New Roman"/>
          <w:sz w:val="22"/>
        </w:rPr>
        <w:t>Loudness</w:t>
      </w:r>
      <w:r>
        <w:rPr>
          <w:rFonts w:ascii="Times New Roman" w:hAnsi="Times New Roman" w:cs="Times New Roman"/>
          <w:sz w:val="22"/>
        </w:rPr>
        <w:t xml:space="preserve"> of the snoring sound during polysomnography: 0, no snoring; 1, soft snoring; 2, loud snoring.</w:t>
      </w:r>
      <w:r>
        <w:rPr>
          <w:rFonts w:ascii="Times New Roman" w:hAnsi="Times New Roman" w:cs="Times New Roman"/>
          <w:sz w:val="22"/>
        </w:rPr>
        <w:t xml:space="preserve"> </w:t>
      </w:r>
      <w:r>
        <w:rPr>
          <w:rFonts w:ascii="Times New Roman" w:hAnsi="Times New Roman" w:cs="Times New Roman"/>
          <w:sz w:val="22"/>
        </w:rPr>
        <w:t xml:space="preserve">Bold indicates </w:t>
      </w:r>
      <w:r>
        <w:rPr>
          <w:rFonts w:ascii="Times New Roman" w:hAnsi="Times New Roman" w:cs="Times New Roman"/>
          <w:i/>
          <w:iCs/>
          <w:sz w:val="22"/>
        </w:rPr>
        <w:t>P</w:t>
      </w:r>
      <w:r>
        <w:rPr>
          <w:rFonts w:ascii="Times New Roman" w:hAnsi="Times New Roman" w:cs="Times New Roman"/>
          <w:sz w:val="22"/>
        </w:rPr>
        <w:t xml:space="preserve"> &lt; 0.1. </w:t>
      </w:r>
      <w:r>
        <w:rPr>
          <w:rFonts w:ascii="Times New Roman" w:hAnsi="Times New Roman" w:cs="Times New Roman"/>
          <w:sz w:val="22"/>
        </w:rPr>
        <w:t>*</w:t>
      </w:r>
      <w:r>
        <w:rPr>
          <w:rFonts w:ascii="Times New Roman" w:eastAsiaTheme="minorHAnsi" w:hAnsi="Times New Roman" w:cs="Times New Roman"/>
          <w:bCs/>
          <w:i/>
          <w:sz w:val="22"/>
          <w:kern w:val="0"/>
        </w:rPr>
        <w:t>P</w:t>
      </w:r>
      <w:r>
        <w:rPr>
          <w:rFonts w:ascii="Times New Roman" w:hAnsi="Times New Roman" w:cs="Times New Roman"/>
          <w:sz w:val="22"/>
        </w:rPr>
        <w:t xml:space="preserve"> &lt; 0.05</w:t>
      </w:r>
      <w:r>
        <w:rPr>
          <w:rFonts w:ascii="Times New Roman" w:hAnsi="Times New Roman" w:cs="Times New Roman"/>
          <w:sz w:val="22"/>
        </w:rPr>
        <w:t>.</w:t>
      </w:r>
    </w:p>
    <w:p>
      <w:pPr>
        <w:rPr>
          <w:rFonts w:ascii="Times New Roman" w:hAnsi="Times New Roman" w:cs="Times New Roman" w:hint="eastAsia"/>
          <w:sz w:val="22"/>
        </w:rPr>
      </w:pPr>
      <w:r>
        <w:rPr>
          <w:rFonts w:ascii="Times New Roman" w:hAnsi="Times New Roman" w:cs="Times New Roman"/>
          <w:b/>
          <w:sz w:val="22"/>
        </w:rPr>
        <w:t>Abbreviations:</w:t>
      </w:r>
      <w:r>
        <w:rPr>
          <w:rFonts w:ascii="Times New Roman" w:hAnsi="Times New Roman" w:cs="Times New Roman"/>
          <w:sz w:val="22"/>
        </w:rPr>
        <w:t xml:space="preserve"> </w:t>
      </w:r>
      <w:r>
        <w:rPr>
          <w:rFonts w:ascii="Times New Roman" w:hAnsi="Times New Roman" w:cs="Times New Roman"/>
          <w:sz w:val="22"/>
        </w:rPr>
        <w:t>ANOVA</w:t>
      </w:r>
      <w:r>
        <w:rPr>
          <w:rFonts w:ascii="Times New Roman" w:hAnsi="Times New Roman" w:cs="Times New Roman"/>
          <w:sz w:val="22"/>
        </w:rPr>
        <w:t xml:space="preserve">, </w:t>
      </w:r>
      <w:r>
        <w:rPr>
          <w:rFonts w:ascii="Times New Roman" w:hAnsi="Times New Roman" w:cs="Times New Roman"/>
          <w:sz w:val="22"/>
        </w:rPr>
        <w:t>analysis of variance</w:t>
      </w:r>
      <w:r>
        <w:rPr>
          <w:rFonts w:ascii="Times New Roman" w:hAnsi="Times New Roman" w:cs="Times New Roman"/>
          <w:sz w:val="22"/>
        </w:rPr>
        <w:t>; CP</w:t>
      </w:r>
      <w:r>
        <w:rPr>
          <w:rFonts w:ascii="Times New Roman" w:hAnsi="Times New Roman" w:cs="Times New Roman"/>
          <w:sz w:val="22"/>
        </w:rPr>
        <w:t xml:space="preserve">AP, </w:t>
      </w:r>
      <w:r>
        <w:rPr>
          <w:rFonts w:ascii="Times New Roman" w:hAnsi="Times New Roman" w:cs="Times New Roman"/>
          <w:iCs/>
          <w:sz w:val="22"/>
        </w:rPr>
        <w:t xml:space="preserve">continuous positive airway pressure; </w:t>
      </w:r>
      <w:r>
        <w:rPr>
          <w:rFonts w:ascii="Times New Roman" w:hAnsi="Times New Roman" w:cs="Times New Roman"/>
          <w:sz w:val="22"/>
        </w:rPr>
        <w:t>N/h, number per hour;</w:t>
      </w:r>
      <w:r>
        <w:rPr>
          <w:rFonts w:ascii="Times New Roman" w:hAnsi="Times New Roman" w:cs="Times New Roman"/>
          <w:iCs/>
          <w:sz w:val="22"/>
        </w:rPr>
        <w:t xml:space="preserve"> PLMS, periodic limb movements during sleep; REM, rapid eye movement.</w:t>
      </w:r>
      <w:r>
        <w:rPr>
          <w:rFonts w:ascii="Times New Roman" w:hAnsi="Times New Roman" w:cs="Times New Roman"/>
          <w:sz w:val="22"/>
        </w:rPr>
        <w:t xml:space="preserve"> </w:t>
      </w:r>
      <w:bookmarkEnd w:id="54"/>
      <w:bookmarkEnd w:id="56"/>
    </w:p>
    <w:sectPr>
      <w:pgSz w:w="11906" w:h="16838"/>
      <w:pgMar w:top="1701" w:right="1440" w:bottom="1440" w:left="1440" w:header="851" w:footer="992" w:gutter="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Times New Roman">
    <w:panose1 w:val="02020603050405020304"/>
    <w:family w:val="Times New Roman"/>
    <w:charset w:val="00"/>
    <w:notTrueType w:val="false"/>
    <w:sig w:usb0="7FFFFFFF" w:usb1="7FFFFFFF" w:usb2="00000009" w:usb3="00000001" w:csb0="400001FF" w:csb1="7FFFFFFF"/>
  </w:font>
  <w:font w:name="신명조">
    <w:charset w:val="00"/>
    <w:notTrueType w:val="false"/>
  </w:font>
  <w:font w:name="Courier New">
    <w:panose1 w:val="02070309020205020404"/>
    <w:family w:val="Courier New"/>
    <w:charset w:val="00"/>
    <w:notTrueType w:val="false"/>
    <w:sig w:usb0="7FFFFFFF" w:usb1="7FFFFFFF" w:usb2="00000009" w:usb3="00000001" w:csb0="400001FF" w:csb1="7FFFFFFF"/>
  </w:font>
  <w:font w:name="Arial">
    <w:panose1 w:val="020B0604020202020204"/>
    <w:family w:val="Arial"/>
    <w:charset w:val="00"/>
    <w:notTrueType w:val="false"/>
    <w:sig w:usb0="7FFFFFFF" w:usb1="7FFFFFFF" w:usb2="00000009" w:usb3="00000001" w:csb0="400001FF" w:csb1="7FFFFFFF"/>
  </w:font>
  <w:font w:name="바탕">
    <w:panose1 w:val="02030600000101010101"/>
    <w:family w:val="Batang"/>
    <w:charset w:val="00"/>
    <w:notTrueType w:val="false"/>
    <w:sig w:usb0="7FFFFFFF" w:usb1="69D77CFB" w:usb2="00000030" w:usb3="00000001" w:csb0="4008009F" w:csb1="7FFFFFFF"/>
  </w:font>
  <w:font w:name="굴림">
    <w:panose1 w:val="020B0600000101010101"/>
    <w:family w:val="Gulim"/>
    <w:charset w:val="00"/>
    <w:notTrueType w:val="false"/>
    <w:sig w:usb0="7FFFFFFF" w:usb1="69D77CFB" w:usb2="00000030" w:usb3="00000001" w:csb0="4008009F" w:csb1="7FFFFFFF"/>
  </w:font>
  <w:font w:name="맑은 고딕">
    <w:panose1 w:val="020B0503020000020004"/>
    <w:family w:val="Malgun Gothic"/>
    <w:charset w:val="00"/>
    <w:notTrueType w:val="false"/>
    <w:sig w:usb0="7FFFFFFF" w:usb1="29D77CFB" w:usb2="00000012" w:usb3="00000001" w:csb0="00080001" w:csb1="0000000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sdt>
    <w:sdtPr>
      <w:id w:val="-1"/>
      <w:docPartObj>
        <w:docPartGallery w:val="Page Numbers (Bottom of Page)"/>
        <w:docPartUnique/>
      </w:docPartObj>
    </w:sdtPr>
    <w:sdtContent>
      <w:p>
        <w:pPr>
          <w:pStyle w:val="a5"/>
          <w:jc w:val="center"/>
        </w:pPr>
        <w:r/>
        <w:r>
          <w:fldChar w:fldCharType="begin"/>
        </w:r>
        <w:r>
          <w:instrText xml:space="preserve"> PAGE   \* MERGEFORMAT </w:instrText>
        </w:r>
        <w:r>
          <w:fldChar w:fldCharType="separate"/>
        </w:r>
        <w:r>
          <w:rPr>
            <w:lang w:val="ko-KR"/>
            <w:noProof/>
          </w:rPr>
          <w:t>6</w:t>
        </w:r>
        <w:r>
          <w:rPr>
            <w:lang w:val="ko-KR"/>
            <w:noProof/>
          </w:rPr>
          <w:fldChar w:fldCharType="end"/>
        </w:r>
        <w:r/>
      </w:p>
    </w:sdtContent>
  </w:sdt>
  <w:p>
    <w:pPr>
      <w:pStyle w:val="a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140"/>
  <w:removePersonalInformation/>
  <w:bordersDontSurroundHeader/>
  <w:bordersDontSurroundFooter/>
  <w:hideGrammaticalErrors/>
  <w:proofState w:spelling="clean" w:grammar="clean"/>
  <w:defaultTabStop w:val="800"/>
  <w:hyphenationZone w:val="360"/>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rawingGridHorizontalSpacing w:val="100"/>
  <w:drawingGridVerticalSpacing w:val="180"/>
  <w:displayHorizontalDrawingGridEvery w:val="1"/>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1440"/>
    <m:wrapRight m:val="0"/>
    <m:intLim m:val="subSup"/>
    <m:naryLim m:val="undOvr"/>
    <m:interSp m:val="0"/>
    <m:intraSp m:val="0"/>
    <m:preSp m:val="0"/>
    <m:postSp m:val="0"/>
  </m:mathPr>
  <w:themeFontLang w:val="en-US" w:eastAsia="ko-KR" w:bidi="ar-SA"/>
</w:settings>
</file>

<file path=word/styles.xml><?xml version="1.0" encoding="utf-8"?>
<w:styles xmlns:r="http://schemas.openxmlformats.org/officeDocument/2006/relationships" xmlns:w="http://schemas.openxmlformats.org/wordprocessingml/2006/main">
  <w:docDefaults>
    <w:rPrDefault>
      <w:rPr>
        <w:lang w:val="en-US" w:eastAsia="ko-KR" w:bidi="ar-SA"/>
        <w:rFonts w:asciiTheme="minorHAnsi" w:eastAsiaTheme="minorEastAsia" w:hAnsiTheme="minorHAnsi" w:cstheme="minorBidi"/>
        <w:szCs w:val="22"/>
        <w:kern w:val="2"/>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57" w:unhideWhenUsed="1"/>
    <w:lsdException w:name="toc 2" w:semiHidden="1" w:uiPriority="57" w:unhideWhenUsed="1"/>
    <w:lsdException w:name="toc 3" w:semiHidden="1" w:uiPriority="57" w:unhideWhenUsed="1"/>
    <w:lsdException w:name="toc 4" w:semiHidden="1" w:uiPriority="57" w:unhideWhenUsed="1"/>
    <w:lsdException w:name="toc 5" w:semiHidden="1" w:uiPriority="57" w:unhideWhenUsed="1"/>
    <w:lsdException w:name="toc 6" w:semiHidden="1" w:uiPriority="57" w:unhideWhenUsed="1"/>
    <w:lsdException w:name="toc 7" w:semiHidden="1" w:uiPriority="57" w:unhideWhenUsed="1"/>
    <w:lsdException w:name="toc 8" w:semiHidden="1" w:uiPriority="57" w:unhideWhenUsed="1"/>
    <w:lsdException w:name="toc 9" w:semiHidden="1" w:uiPriority="57"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5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7"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4" w:qFormat="1"/>
    <w:lsdException w:name="Emphasis" w:uiPriority="3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89"/>
    <w:lsdException w:name="Table Theme" w:semiHidden="1" w:unhideWhenUsed="1"/>
    <w:lsdException w:name="Placeholder Text" w:semiHidden="1"/>
    <w:lsdException w:name="No Spacing" w:uiPriority="1" w:qFormat="1"/>
    <w:lsdException w:name="Light Shading" w:uiPriority="96"/>
    <w:lsdException w:name="Light List" w:uiPriority="97"/>
    <w:lsdException w:name="Light Grid" w:uiPriority="98"/>
    <w:lsdException w:name="Medium Shading 1" w:uiPriority="99"/>
    <w:lsdException w:name="Medium Shading 2" w:uiPriority="100"/>
    <w:lsdException w:name="Medium List 1" w:uiPriority="101"/>
    <w:lsdException w:name="Medium List 2" w:uiPriority="102"/>
    <w:lsdException w:name="Medium Grid 1" w:uiPriority="103"/>
    <w:lsdException w:name="Medium Grid 2" w:uiPriority="104"/>
    <w:lsdException w:name="Medium Grid 3" w:uiPriority="105"/>
    <w:lsdException w:name="Dark List" w:uiPriority="112"/>
    <w:lsdException w:name="Colorful Shading" w:uiPriority="113"/>
    <w:lsdException w:name="Colorful List" w:uiPriority="114"/>
    <w:lsdException w:name="Colorful Grid" w:uiPriority="115"/>
    <w:lsdException w:name="Light Shading Accent 1" w:uiPriority="96"/>
    <w:lsdException w:name="Light List Accent 1" w:uiPriority="97"/>
    <w:lsdException w:name="Light Grid Accent 1" w:uiPriority="98"/>
    <w:lsdException w:name="Medium Shading 1 Accent 1" w:uiPriority="99"/>
    <w:lsdException w:name="Medium Shading 2 Accent 1" w:uiPriority="100"/>
    <w:lsdException w:name="Medium List 1 Accent 1" w:uiPriority="101"/>
    <w:lsdException w:name="Revision" w:semiHidden="1"/>
    <w:lsdException w:name="List Paragraph" w:uiPriority="52" w:qFormat="1"/>
    <w:lsdException w:name="Quote" w:uiPriority="41" w:qFormat="1"/>
    <w:lsdException w:name="Intense Quote" w:uiPriority="48" w:qFormat="1"/>
    <w:lsdException w:name="Medium List 2 Accent 1" w:uiPriority="102"/>
    <w:lsdException w:name="Medium Grid 1 Accent 1" w:uiPriority="103"/>
    <w:lsdException w:name="Medium Grid 2 Accent 1" w:uiPriority="104"/>
    <w:lsdException w:name="Medium Grid 3 Accent 1" w:uiPriority="105"/>
    <w:lsdException w:name="Dark List Accent 1" w:uiPriority="112"/>
    <w:lsdException w:name="Colorful Shading Accent 1" w:uiPriority="113"/>
    <w:lsdException w:name="Colorful List Accent 1" w:uiPriority="114"/>
    <w:lsdException w:name="Colorful Grid Accent 1" w:uiPriority="115"/>
    <w:lsdException w:name="Light Shading Accent 2" w:uiPriority="96"/>
    <w:lsdException w:name="Light List Accent 2" w:uiPriority="97"/>
    <w:lsdException w:name="Light Grid Accent 2" w:uiPriority="98"/>
    <w:lsdException w:name="Medium Shading 1 Accent 2" w:uiPriority="99"/>
    <w:lsdException w:name="Medium Shading 2 Accent 2" w:uiPriority="100"/>
    <w:lsdException w:name="Medium List 1 Accent 2" w:uiPriority="101"/>
    <w:lsdException w:name="Medium List 2 Accent 2" w:uiPriority="102"/>
    <w:lsdException w:name="Medium Grid 1 Accent 2" w:uiPriority="103"/>
    <w:lsdException w:name="Medium Grid 2 Accent 2" w:uiPriority="104"/>
    <w:lsdException w:name="Medium Grid 3 Accent 2" w:uiPriority="105"/>
    <w:lsdException w:name="Dark List Accent 2" w:uiPriority="112"/>
    <w:lsdException w:name="Colorful Shading Accent 2" w:uiPriority="113"/>
    <w:lsdException w:name="Colorful List Accent 2" w:uiPriority="114"/>
    <w:lsdException w:name="Colorful Grid Accent 2" w:uiPriority="115"/>
    <w:lsdException w:name="Light Shading Accent 3" w:uiPriority="96"/>
    <w:lsdException w:name="Light List Accent 3" w:uiPriority="97"/>
    <w:lsdException w:name="Light Grid Accent 3" w:uiPriority="98"/>
    <w:lsdException w:name="Medium Shading 1 Accent 3" w:uiPriority="99"/>
    <w:lsdException w:name="Medium Shading 2 Accent 3" w:uiPriority="100"/>
    <w:lsdException w:name="Medium List 1 Accent 3" w:uiPriority="101"/>
    <w:lsdException w:name="Medium List 2 Accent 3" w:uiPriority="102"/>
    <w:lsdException w:name="Medium Grid 1 Accent 3" w:uiPriority="103"/>
    <w:lsdException w:name="Medium Grid 2 Accent 3" w:uiPriority="104"/>
    <w:lsdException w:name="Medium Grid 3 Accent 3" w:uiPriority="105"/>
    <w:lsdException w:name="Dark List Accent 3" w:uiPriority="112"/>
    <w:lsdException w:name="Colorful Shading Accent 3" w:uiPriority="113"/>
    <w:lsdException w:name="Colorful List Accent 3" w:uiPriority="114"/>
    <w:lsdException w:name="Colorful Grid Accent 3" w:uiPriority="115"/>
    <w:lsdException w:name="Light Shading Accent 4" w:uiPriority="96"/>
    <w:lsdException w:name="Light List Accent 4" w:uiPriority="97"/>
    <w:lsdException w:name="Light Grid Accent 4" w:uiPriority="98"/>
    <w:lsdException w:name="Medium Shading 1 Accent 4" w:uiPriority="99"/>
    <w:lsdException w:name="Medium Shading 2 Accent 4" w:uiPriority="100"/>
    <w:lsdException w:name="Medium List 1 Accent 4" w:uiPriority="101"/>
    <w:lsdException w:name="Medium List 2 Accent 4" w:uiPriority="102"/>
    <w:lsdException w:name="Medium Grid 1 Accent 4" w:uiPriority="103"/>
    <w:lsdException w:name="Medium Grid 2 Accent 4" w:uiPriority="104"/>
    <w:lsdException w:name="Medium Grid 3 Accent 4" w:uiPriority="105"/>
    <w:lsdException w:name="Dark List Accent 4" w:uiPriority="112"/>
    <w:lsdException w:name="Colorful Shading Accent 4" w:uiPriority="113"/>
    <w:lsdException w:name="Colorful List Accent 4" w:uiPriority="114"/>
    <w:lsdException w:name="Colorful Grid Accent 4" w:uiPriority="115"/>
    <w:lsdException w:name="Light Shading Accent 5" w:uiPriority="96"/>
    <w:lsdException w:name="Light List Accent 5" w:uiPriority="97"/>
    <w:lsdException w:name="Light Grid Accent 5" w:uiPriority="98"/>
    <w:lsdException w:name="Medium Shading 1 Accent 5" w:uiPriority="99"/>
    <w:lsdException w:name="Medium Shading 2 Accent 5" w:uiPriority="100"/>
    <w:lsdException w:name="Medium List 1 Accent 5" w:uiPriority="101"/>
    <w:lsdException w:name="Medium List 2 Accent 5" w:uiPriority="102"/>
    <w:lsdException w:name="Medium Grid 1 Accent 5" w:uiPriority="103"/>
    <w:lsdException w:name="Medium Grid 2 Accent 5" w:uiPriority="104"/>
    <w:lsdException w:name="Medium Grid 3 Accent 5" w:uiPriority="105"/>
    <w:lsdException w:name="Dark List Accent 5" w:uiPriority="112"/>
    <w:lsdException w:name="Colorful Shading Accent 5" w:uiPriority="113"/>
    <w:lsdException w:name="Colorful List Accent 5" w:uiPriority="114"/>
    <w:lsdException w:name="Colorful Grid Accent 5" w:uiPriority="115"/>
    <w:lsdException w:name="Light Shading Accent 6" w:uiPriority="96"/>
    <w:lsdException w:name="Light List Accent 6" w:uiPriority="97"/>
    <w:lsdException w:name="Light Grid Accent 6" w:uiPriority="98"/>
    <w:lsdException w:name="Medium Shading 1 Accent 6" w:uiPriority="99"/>
    <w:lsdException w:name="Medium Shading 2 Accent 6" w:uiPriority="100"/>
    <w:lsdException w:name="Medium List 1 Accent 6" w:uiPriority="101"/>
    <w:lsdException w:name="Medium List 2 Accent 6" w:uiPriority="102"/>
    <w:lsdException w:name="Medium Grid 1 Accent 6" w:uiPriority="103"/>
    <w:lsdException w:name="Medium Grid 2 Accent 6" w:uiPriority="104"/>
    <w:lsdException w:name="Medium Grid 3 Accent 6" w:uiPriority="105"/>
    <w:lsdException w:name="Dark List Accent 6" w:uiPriority="112"/>
    <w:lsdException w:name="Colorful Shading Accent 6" w:uiPriority="113"/>
    <w:lsdException w:name="Colorful List Accent 6" w:uiPriority="114"/>
    <w:lsdException w:name="Colorful Grid Accent 6" w:uiPriority="115"/>
    <w:lsdException w:name="Subtle Emphasis" w:uiPriority="25" w:qFormat="1"/>
    <w:lsdException w:name="Intense Emphasis" w:uiPriority="33" w:qFormat="1"/>
    <w:lsdException w:name="Subtle Reference" w:uiPriority="49" w:qFormat="1"/>
    <w:lsdException w:name="Intense Reference" w:uiPriority="50" w:qFormat="1"/>
    <w:lsdException w:name="Book Title" w:uiPriority="51" w:qFormat="1"/>
    <w:lsdException w:name="Bibliography" w:semiHidden="1" w:uiPriority="55" w:unhideWhenUsed="1"/>
    <w:lsdException w:name="TOC Heading" w:semiHidden="1" w:uiPriority="57" w:unhideWhenUsed="1" w:qFormat="1"/>
    <w:lsdException w:name="Plain Table 1" w:uiPriority="65"/>
    <w:lsdException w:name="Plain Table 2" w:uiPriority="66"/>
    <w:lsdException w:name="Plain Table 3" w:uiPriority="67"/>
    <w:lsdException w:name="Plain Table 4" w:uiPriority="68"/>
    <w:lsdException w:name="Plain Table 5" w:uiPriority="69"/>
    <w:lsdException w:name="Grid Table Light" w:uiPriority="64"/>
    <w:lsdException w:name="Grid Table 1 Light" w:uiPriority="70"/>
    <w:lsdException w:name="Grid Table 2" w:uiPriority="71"/>
    <w:lsdException w:name="Grid Table 3" w:uiPriority="72"/>
    <w:lsdException w:name="Grid Table 4" w:uiPriority="73"/>
    <w:lsdException w:name="Grid Table 5 Dark" w:uiPriority="80"/>
    <w:lsdException w:name="Grid Table 6 Colorful" w:uiPriority="81"/>
    <w:lsdException w:name="Grid Table 7 Colorful" w:uiPriority="82"/>
    <w:lsdException w:name="Grid Table 1 Light Accent 1" w:uiPriority="70"/>
    <w:lsdException w:name="Grid Table 2 Accent 1" w:uiPriority="71"/>
    <w:lsdException w:name="Grid Table 3 Accent 1" w:uiPriority="72"/>
    <w:lsdException w:name="Grid Table 4 Accent 1" w:uiPriority="73"/>
    <w:lsdException w:name="Grid Table 5 Dark Accent 1" w:uiPriority="80"/>
    <w:lsdException w:name="Grid Table 6 Colorful Accent 1" w:uiPriority="81"/>
    <w:lsdException w:name="Grid Table 7 Colorful Accent 1" w:uiPriority="82"/>
    <w:lsdException w:name="Grid Table 1 Light Accent 2" w:uiPriority="70"/>
    <w:lsdException w:name="Grid Table 2 Accent 2" w:uiPriority="71"/>
    <w:lsdException w:name="Grid Table 3 Accent 2" w:uiPriority="72"/>
    <w:lsdException w:name="Grid Table 4 Accent 2" w:uiPriority="73"/>
    <w:lsdException w:name="Grid Table 5 Dark Accent 2" w:uiPriority="80"/>
    <w:lsdException w:name="Grid Table 6 Colorful Accent 2" w:uiPriority="81"/>
    <w:lsdException w:name="Grid Table 7 Colorful Accent 2" w:uiPriority="82"/>
    <w:lsdException w:name="Grid Table 1 Light Accent 3" w:uiPriority="70"/>
    <w:lsdException w:name="Grid Table 2 Accent 3" w:uiPriority="71"/>
    <w:lsdException w:name="Grid Table 3 Accent 3" w:uiPriority="72"/>
    <w:lsdException w:name="Grid Table 4 Accent 3" w:uiPriority="73"/>
    <w:lsdException w:name="Grid Table 5 Dark Accent 3" w:uiPriority="80"/>
    <w:lsdException w:name="Grid Table 6 Colorful Accent 3" w:uiPriority="81"/>
    <w:lsdException w:name="Grid Table 7 Colorful Accent 3" w:uiPriority="82"/>
    <w:lsdException w:name="Grid Table 1 Light Accent 4" w:uiPriority="70"/>
    <w:lsdException w:name="Grid Table 2 Accent 4" w:uiPriority="71"/>
    <w:lsdException w:name="Grid Table 3 Accent 4" w:uiPriority="72"/>
    <w:lsdException w:name="Grid Table 4 Accent 4" w:uiPriority="73"/>
    <w:lsdException w:name="Grid Table 5 Dark Accent 4" w:uiPriority="80"/>
    <w:lsdException w:name="Grid Table 6 Colorful Accent 4" w:uiPriority="81"/>
    <w:lsdException w:name="Grid Table 7 Colorful Accent 4" w:uiPriority="82"/>
    <w:lsdException w:name="Grid Table 1 Light Accent 5" w:uiPriority="70"/>
    <w:lsdException w:name="Grid Table 2 Accent 5" w:uiPriority="71"/>
    <w:lsdException w:name="Grid Table 3 Accent 5" w:uiPriority="72"/>
    <w:lsdException w:name="Grid Table 4 Accent 5" w:uiPriority="73"/>
    <w:lsdException w:name="Grid Table 5 Dark Accent 5" w:uiPriority="80"/>
    <w:lsdException w:name="Grid Table 6 Colorful Accent 5" w:uiPriority="81"/>
    <w:lsdException w:name="Grid Table 7 Colorful Accent 5" w:uiPriority="82"/>
    <w:lsdException w:name="Grid Table 1 Light Accent 6" w:uiPriority="70"/>
    <w:lsdException w:name="Grid Table 2 Accent 6" w:uiPriority="71"/>
    <w:lsdException w:name="Grid Table 3 Accent 6" w:uiPriority="72"/>
    <w:lsdException w:name="Grid Table 4 Accent 6" w:uiPriority="73"/>
    <w:lsdException w:name="Grid Table 5 Dark Accent 6" w:uiPriority="80"/>
    <w:lsdException w:name="Grid Table 6 Colorful Accent 6" w:uiPriority="81"/>
    <w:lsdException w:name="Grid Table 7 Colorful Accent 6" w:uiPriority="82"/>
    <w:lsdException w:name="List Table 1 Light" w:uiPriority="70"/>
    <w:lsdException w:name="List Table 2" w:uiPriority="71"/>
    <w:lsdException w:name="List Table 3" w:uiPriority="72"/>
    <w:lsdException w:name="List Table 4" w:uiPriority="73"/>
    <w:lsdException w:name="List Table 5 Dark" w:uiPriority="80"/>
    <w:lsdException w:name="List Table 6 Colorful" w:uiPriority="81"/>
    <w:lsdException w:name="List Table 7 Colorful" w:uiPriority="82"/>
    <w:lsdException w:name="List Table 1 Light Accent 1" w:uiPriority="70"/>
    <w:lsdException w:name="List Table 2 Accent 1" w:uiPriority="71"/>
    <w:lsdException w:name="List Table 3 Accent 1" w:uiPriority="72"/>
    <w:lsdException w:name="List Table 4 Accent 1" w:uiPriority="73"/>
    <w:lsdException w:name="List Table 5 Dark Accent 1" w:uiPriority="80"/>
    <w:lsdException w:name="List Table 6 Colorful Accent 1" w:uiPriority="81"/>
    <w:lsdException w:name="List Table 7 Colorful Accent 1" w:uiPriority="82"/>
    <w:lsdException w:name="List Table 1 Light Accent 2" w:uiPriority="70"/>
    <w:lsdException w:name="List Table 2 Accent 2" w:uiPriority="71"/>
    <w:lsdException w:name="List Table 3 Accent 2" w:uiPriority="72"/>
    <w:lsdException w:name="List Table 4 Accent 2" w:uiPriority="73"/>
    <w:lsdException w:name="List Table 5 Dark Accent 2" w:uiPriority="80"/>
    <w:lsdException w:name="List Table 6 Colorful Accent 2" w:uiPriority="81"/>
    <w:lsdException w:name="List Table 7 Colorful Accent 2" w:uiPriority="82"/>
    <w:lsdException w:name="List Table 1 Light Accent 3" w:uiPriority="70"/>
    <w:lsdException w:name="List Table 2 Accent 3" w:uiPriority="71"/>
    <w:lsdException w:name="List Table 3 Accent 3" w:uiPriority="72"/>
    <w:lsdException w:name="List Table 4 Accent 3" w:uiPriority="73"/>
    <w:lsdException w:name="List Table 5 Dark Accent 3" w:uiPriority="80"/>
    <w:lsdException w:name="List Table 6 Colorful Accent 3" w:uiPriority="81"/>
    <w:lsdException w:name="List Table 7 Colorful Accent 3" w:uiPriority="82"/>
    <w:lsdException w:name="List Table 1 Light Accent 4" w:uiPriority="70"/>
    <w:lsdException w:name="List Table 2 Accent 4" w:uiPriority="71"/>
    <w:lsdException w:name="List Table 3 Accent 4" w:uiPriority="72"/>
    <w:lsdException w:name="List Table 4 Accent 4" w:uiPriority="73"/>
    <w:lsdException w:name="List Table 5 Dark Accent 4" w:uiPriority="80"/>
    <w:lsdException w:name="List Table 6 Colorful Accent 4" w:uiPriority="81"/>
    <w:lsdException w:name="List Table 7 Colorful Accent 4" w:uiPriority="82"/>
    <w:lsdException w:name="List Table 1 Light Accent 5" w:uiPriority="70"/>
    <w:lsdException w:name="List Table 2 Accent 5" w:uiPriority="71"/>
    <w:lsdException w:name="List Table 3 Accent 5" w:uiPriority="72"/>
    <w:lsdException w:name="List Table 4 Accent 5" w:uiPriority="73"/>
    <w:lsdException w:name="List Table 5 Dark Accent 5" w:uiPriority="80"/>
    <w:lsdException w:name="List Table 6 Colorful Accent 5" w:uiPriority="81"/>
    <w:lsdException w:name="List Table 7 Colorful Accent 5" w:uiPriority="82"/>
    <w:lsdException w:name="List Table 1 Light Accent 6" w:uiPriority="70"/>
    <w:lsdException w:name="List Table 2 Accent 6" w:uiPriority="71"/>
    <w:lsdException w:name="List Table 3 Accent 6" w:uiPriority="72"/>
    <w:lsdException w:name="List Table 4 Accent 6" w:uiPriority="73"/>
    <w:lsdException w:name="List Table 5 Dark Accent 6" w:uiPriority="80"/>
    <w:lsdException w:name="List Table 6 Colorful Accent 6" w:uiPriority="81"/>
    <w:lsdException w:name="List Table 7 Colorful Accent 6" w:uiPriority="8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autoSpaceDE w:val="off"/>
      <w:autoSpaceDN w:val="off"/>
      <w:widowControl w:val="off"/>
      <w:wordWrap w:val="off"/>
      <w:jc w:val="both"/>
    </w:pPr>
  </w:style>
  <w:style w:type="paragraph" w:styleId="1">
    <w:name w:val="heading 1"/>
    <w:uiPriority w:val="9"/>
    <w:basedOn w:val="a"/>
    <w:next w:val="a"/>
    <w:link w:val="1Char"/>
    <w:qFormat/>
    <w:pPr>
      <w:keepNext/>
      <w:outlineLvl w:val="0"/>
    </w:pPr>
    <w:rPr>
      <w:rFonts w:asciiTheme="majorHAnsi" w:eastAsiaTheme="majorEastAsia" w:hAnsiTheme="majorHAnsi" w:cstheme="majorBidi"/>
      <w:sz w:val="28"/>
      <w:szCs w:val="28"/>
    </w:rPr>
  </w:style>
  <w:style w:type="paragraph" w:styleId="2">
    <w:name w:val="heading 2"/>
    <w:uiPriority w:val="9"/>
    <w:basedOn w:val="a"/>
    <w:next w:val="a"/>
    <w:link w:val="2Char"/>
    <w:qFormat/>
    <w:semiHidden/>
    <w:unhideWhenUsed/>
    <w:pPr>
      <w:keepNext/>
      <w:outlineLvl w:val="1"/>
    </w:pPr>
    <w:rPr>
      <w:rFonts w:asciiTheme="majorHAnsi" w:eastAsiaTheme="majorEastAsia" w:hAnsiTheme="majorHAnsi" w:cstheme="majorBidi"/>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uiPriority w:val="9"/>
    <w:basedOn w:val="a0"/>
    <w:link w:val="1"/>
    <w:rPr>
      <w:rFonts w:asciiTheme="majorHAnsi" w:eastAsiaTheme="majorEastAsia" w:hAnsiTheme="majorHAnsi" w:cstheme="majorBidi"/>
      <w:sz w:val="28"/>
      <w:szCs w:val="28"/>
    </w:rPr>
  </w:style>
  <w:style w:type="character" w:styleId="a3">
    <w:name w:val="Hyperlink"/>
    <w:uiPriority w:val="99"/>
    <w:basedOn w:val="a0"/>
    <w:unhideWhenUsed/>
    <w:rPr>
      <w:color w:val="0000FF"/>
      <w:u w:val="single" w:color="auto"/>
    </w:rPr>
  </w:style>
  <w:style w:type="paragraph" w:styleId="a4">
    <w:name w:val="header"/>
    <w:uiPriority w:val="99"/>
    <w:basedOn w:val="a"/>
    <w:link w:val="Char"/>
    <w:unhideWhenUsed/>
    <w:pPr>
      <w:snapToGrid w:val="0"/>
      <w:tabs>
        <w:tab w:val="center" w:pos="4513"/>
        <w:tab w:val="right" w:pos="9026"/>
      </w:tabs>
    </w:pPr>
  </w:style>
  <w:style w:type="character" w:customStyle="1" w:styleId="Char">
    <w:name w:val="머리글 Char"/>
    <w:uiPriority w:val="99"/>
    <w:basedOn w:val="a0"/>
    <w:link w:val="a4"/>
  </w:style>
  <w:style w:type="paragraph" w:styleId="a5">
    <w:name w:val="footer"/>
    <w:uiPriority w:val="99"/>
    <w:basedOn w:val="a"/>
    <w:link w:val="Char0"/>
    <w:unhideWhenUsed/>
    <w:pPr>
      <w:snapToGrid w:val="0"/>
      <w:tabs>
        <w:tab w:val="center" w:pos="4513"/>
        <w:tab w:val="right" w:pos="9026"/>
      </w:tabs>
    </w:pPr>
  </w:style>
  <w:style w:type="character" w:customStyle="1" w:styleId="Char0">
    <w:name w:val="바닥글 Char"/>
    <w:uiPriority w:val="99"/>
    <w:basedOn w:val="a0"/>
    <w:link w:val="a5"/>
  </w:style>
  <w:style w:type="character" w:customStyle="1" w:styleId="st1">
    <w:name w:val="st1"/>
    <w:basedOn w:val="a0"/>
  </w:style>
  <w:style w:type="table" w:styleId="a6">
    <w:name w:val="Table Grid"/>
    <w:uiPriority w:val="59"/>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uiPriority w:val="99"/>
    <w:basedOn w:val="a"/>
    <w:semiHidden/>
    <w:unhideWhenUsed/>
    <w:pPr>
      <w:autoSpaceDE/>
      <w:autoSpaceDN/>
      <w:widowControl/>
      <w:wordWrap/>
      <w:jc w:val="left"/>
      <w:spacing w:after="100" w:afterAutospacing="1" w:before="100" w:beforeAutospacing="1"/>
    </w:pPr>
    <w:rPr>
      <w:rFonts w:ascii="굴림" w:eastAsia="굴림" w:hAnsi="굴림" w:cs="굴림"/>
      <w:sz w:val="24"/>
      <w:szCs w:val="24"/>
      <w:kern w:val="0"/>
    </w:rPr>
  </w:style>
  <w:style w:type="character" w:customStyle="1" w:styleId="hps">
    <w:name w:val="hps"/>
    <w:basedOn w:val="a0"/>
  </w:style>
  <w:style w:type="paragraph" w:styleId="a8">
    <w:name w:val="List Paragraph"/>
    <w:uiPriority w:val="34"/>
    <w:basedOn w:val="a"/>
    <w:qFormat/>
    <w:pPr>
      <w:ind w:leftChars="400" w:left="800"/>
    </w:pPr>
  </w:style>
  <w:style w:type="paragraph" w:customStyle="1" w:styleId="a9">
    <w:name w:val="바탕글"/>
    <w:basedOn w:val="a"/>
    <w:pPr>
      <w:snapToGrid w:val="0"/>
      <w:shd w:val="clear" w:color="auto" w:fill="FFFFFF"/>
      <w:spacing w:line="384" w:lineRule="auto"/>
      <w:textAlignment w:val="baseline"/>
    </w:pPr>
    <w:rPr>
      <w:rFonts w:ascii="굴림" w:eastAsia="굴림" w:hAnsi="굴림" w:cs="굴림"/>
      <w:color w:val="000000"/>
      <w:szCs w:val="20"/>
      <w:kern w:val="0"/>
    </w:rPr>
  </w:style>
  <w:style w:type="paragraph" w:styleId="aa">
    <w:name w:val="Balloon Text"/>
    <w:uiPriority w:val="99"/>
    <w:basedOn w:val="a"/>
    <w:link w:val="Char1"/>
    <w:semiHidden/>
    <w:unhideWhenUsed/>
    <w:rPr>
      <w:rFonts w:asciiTheme="majorHAnsi" w:eastAsiaTheme="majorEastAsia" w:hAnsiTheme="majorHAnsi" w:cstheme="majorBidi"/>
      <w:sz w:val="18"/>
      <w:szCs w:val="18"/>
    </w:rPr>
  </w:style>
  <w:style w:type="character" w:customStyle="1" w:styleId="Char1">
    <w:name w:val="풍선 도움말 텍스트 Char"/>
    <w:uiPriority w:val="99"/>
    <w:basedOn w:val="a0"/>
    <w:link w:val="aa"/>
    <w:semiHidden/>
    <w:rPr>
      <w:rFonts w:asciiTheme="majorHAnsi" w:eastAsiaTheme="majorEastAsia" w:hAnsiTheme="majorHAnsi" w:cstheme="majorBidi"/>
      <w:sz w:val="18"/>
      <w:szCs w:val="18"/>
    </w:rPr>
  </w:style>
  <w:style w:type="character" w:styleId="ab">
    <w:name w:val="line number"/>
    <w:uiPriority w:val="99"/>
    <w:basedOn w:val="a0"/>
    <w:semiHidden/>
    <w:unhideWhenUsed/>
  </w:style>
  <w:style w:type="character" w:customStyle="1" w:styleId="cit">
    <w:name w:val="cit"/>
    <w:basedOn w:val="a0"/>
  </w:style>
  <w:style w:type="character" w:customStyle="1" w:styleId="tl-document1">
    <w:name w:val="tl-document1"/>
    <w:basedOn w:val="a0"/>
    <w:rPr>
      <w:rFonts w:ascii="Times New Roman" w:hAnsi="Times New Roman" w:cs="Times New Roman" w:hint="default"/>
      <w:b/>
      <w:bCs/>
      <w:color w:val="000000"/>
      <w:sz w:val="30"/>
      <w:szCs w:val="30"/>
      <w:vanish w:val="0"/>
      <w:webHidden w:val="off"/>
    </w:rPr>
  </w:style>
  <w:style w:type="character" w:styleId="ac">
    <w:name w:val="annotation reference"/>
    <w:uiPriority w:val="99"/>
    <w:basedOn w:val="a0"/>
    <w:semiHidden/>
    <w:unhideWhenUsed/>
    <w:rPr>
      <w:sz w:val="18"/>
      <w:szCs w:val="18"/>
    </w:rPr>
  </w:style>
  <w:style w:type="paragraph" w:styleId="ad">
    <w:name w:val="annotation text"/>
    <w:uiPriority w:val="99"/>
    <w:basedOn w:val="a"/>
    <w:link w:val="Char2"/>
    <w:semiHidden/>
    <w:unhideWhenUsed/>
    <w:pPr>
      <w:jc w:val="left"/>
    </w:pPr>
  </w:style>
  <w:style w:type="character" w:customStyle="1" w:styleId="Char2">
    <w:name w:val="메모 텍스트 Char"/>
    <w:uiPriority w:val="99"/>
    <w:basedOn w:val="a0"/>
    <w:link w:val="ad"/>
    <w:semiHidden/>
  </w:style>
  <w:style w:type="paragraph" w:styleId="ae">
    <w:name w:val="annotation subject"/>
    <w:uiPriority w:val="99"/>
    <w:basedOn w:val="ad"/>
    <w:next w:val="ad"/>
    <w:link w:val="Char3"/>
    <w:semiHidden/>
    <w:unhideWhenUsed/>
    <w:rPr>
      <w:b/>
      <w:bCs/>
    </w:rPr>
  </w:style>
  <w:style w:type="character" w:customStyle="1" w:styleId="Char3">
    <w:name w:val="메모 주제 Char"/>
    <w:uiPriority w:val="99"/>
    <w:basedOn w:val="Char2"/>
    <w:link w:val="ae"/>
    <w:semiHidden/>
    <w:rPr>
      <w:b/>
      <w:bCs/>
    </w:rPr>
  </w:style>
  <w:style w:type="paragraph" w:customStyle="1" w:styleId="EndNoteBibliographyTitle">
    <w:name w:val="EndNote Bibliography Title"/>
    <w:basedOn w:val="a"/>
    <w:link w:val="EndNoteBibliographyTitleChar"/>
    <w:pPr>
      <w:jc w:val="center"/>
    </w:pPr>
    <w:rPr>
      <w:rFonts w:ascii="맑은 고딕" w:eastAsia="맑은 고딕" w:hAnsi="맑은 고딕"/>
      <w:noProof/>
    </w:rPr>
  </w:style>
  <w:style w:type="character" w:customStyle="1" w:styleId="EndNoteBibliographyTitleChar">
    <w:name w:val="EndNote Bibliography Title Char"/>
    <w:basedOn w:val="a0"/>
    <w:link w:val="EndNoteBibliographyTitle"/>
    <w:rPr>
      <w:rFonts w:ascii="맑은 고딕" w:eastAsia="맑은 고딕" w:hAnsi="맑은 고딕"/>
      <w:noProof/>
    </w:rPr>
  </w:style>
  <w:style w:type="paragraph" w:customStyle="1" w:styleId="EndNoteBibliography">
    <w:name w:val="EndNote Bibliography"/>
    <w:basedOn w:val="a"/>
    <w:link w:val="EndNoteBibliographyChar"/>
    <w:pPr>
      <w:jc w:val="left"/>
    </w:pPr>
    <w:rPr>
      <w:rFonts w:ascii="맑은 고딕" w:eastAsia="맑은 고딕" w:hAnsi="맑은 고딕"/>
      <w:noProof/>
    </w:rPr>
  </w:style>
  <w:style w:type="character" w:customStyle="1" w:styleId="EndNoteBibliographyChar">
    <w:name w:val="EndNote Bibliography Char"/>
    <w:basedOn w:val="a0"/>
    <w:link w:val="EndNoteBibliography"/>
    <w:rPr>
      <w:rFonts w:ascii="맑은 고딕" w:eastAsia="맑은 고딕" w:hAnsi="맑은 고딕"/>
      <w:noProof/>
    </w:rPr>
  </w:style>
  <w:style w:type="character" w:customStyle="1" w:styleId="af">
    <w:name w:val="Unresolved Mention"/>
    <w:uiPriority w:val="99"/>
    <w:basedOn w:val="a0"/>
    <w:semiHidden/>
    <w:unhideWhenUsed/>
    <w:rPr>
      <w:color w:val="605E5C"/>
      <w:shd w:val="clear" w:color="auto" w:fill="E1DFDD"/>
    </w:rPr>
  </w:style>
  <w:style w:type="character" w:customStyle="1" w:styleId="2Char">
    <w:name w:val="제목 2 Char"/>
    <w:uiPriority w:val="9"/>
    <w:basedOn w:val="a0"/>
    <w:link w:val="2"/>
    <w:semiHidden/>
    <w:rPr>
      <w:rFonts w:asciiTheme="majorHAnsi" w:eastAsiaTheme="majorEastAsia" w:hAnsiTheme="majorHAnsi" w:cstheme="majorBidi"/>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footer" Target="footer1.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fontTable" Target="fontTable.xml" /><Relationship Id="rId5" Type="http://schemas.openxmlformats.org/officeDocument/2006/relationships/webSettings" Target="webSettings.xml" /><Relationship Id="rId6" Type="http://schemas.openxmlformats.org/officeDocument/2006/relationships/theme" Target="theme/theme1.xml" /></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
        <a:font script="Mymr" typeface=""/>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
        <a:font script="Mymr"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Word</Application>
  <Company>Microsoft Corporation</Company>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XP</dc:creator>
  <cp:keywords/>
  <dc:description/>
  <cp:lastModifiedBy>user</cp:lastModifiedBy>
  <cp:revision>1</cp:revision>
  <dcterms:created xsi:type="dcterms:W3CDTF">2023-10-28T13:05:00Z</dcterms:created>
  <dcterms:modified xsi:type="dcterms:W3CDTF">2024-12-17T11:09:00Z</dcterms:modified>
  <cp:lastPrinted>2016-01-11T08:00:00Z</cp:lastPrinted>
  <cp:version>1300.0100.01</cp:version>
</cp:coreProperties>
</file>